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Bang"/>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9922"/>
      </w:tblGrid>
      <w:tr w:rsidR="00417617" w:rsidRPr="00FF43B7" w14:paraId="6F4BDA30" w14:textId="77777777" w:rsidTr="00BA58F1">
        <w:tc>
          <w:tcPr>
            <w:tcW w:w="4395" w:type="dxa"/>
          </w:tcPr>
          <w:p w14:paraId="17D49AE9" w14:textId="77777777" w:rsidR="00417617" w:rsidRPr="00FF43B7" w:rsidRDefault="00417617" w:rsidP="00BA58F1">
            <w:pPr>
              <w:jc w:val="center"/>
              <w:rPr>
                <w:spacing w:val="-10"/>
                <w:sz w:val="26"/>
                <w:szCs w:val="26"/>
              </w:rPr>
            </w:pPr>
            <w:bookmarkStart w:id="0" w:name="_GoBack"/>
            <w:bookmarkEnd w:id="0"/>
            <w:r w:rsidRPr="00FF43B7">
              <w:rPr>
                <w:spacing w:val="-10"/>
                <w:sz w:val="26"/>
                <w:szCs w:val="26"/>
              </w:rPr>
              <w:t>UBND TỈNH THÁI NGUYÊN</w:t>
            </w:r>
          </w:p>
          <w:p w14:paraId="5247A938" w14:textId="77777777" w:rsidR="00417617" w:rsidRPr="00FF43B7" w:rsidRDefault="00417617" w:rsidP="00BA58F1">
            <w:pPr>
              <w:jc w:val="center"/>
              <w:rPr>
                <w:rFonts w:ascii="Times New Roman Bold" w:hAnsi="Times New Roman Bold"/>
                <w:b/>
                <w:spacing w:val="-14"/>
                <w:sz w:val="26"/>
                <w:szCs w:val="26"/>
              </w:rPr>
            </w:pPr>
            <w:r w:rsidRPr="00FF43B7">
              <w:rPr>
                <w:rFonts w:ascii="Times New Roman Bold" w:hAnsi="Times New Roman Bold"/>
                <w:b/>
                <w:spacing w:val="-14"/>
                <w:sz w:val="26"/>
                <w:szCs w:val="26"/>
              </w:rPr>
              <w:t>SỞ NÔNG NGHIỆP VÀ MÔI TRƯỜNG</w:t>
            </w:r>
          </w:p>
          <w:p w14:paraId="2233BB9D" w14:textId="77777777" w:rsidR="00417617" w:rsidRPr="00FF43B7" w:rsidRDefault="00417617" w:rsidP="00BA58F1">
            <w:pPr>
              <w:jc w:val="center"/>
              <w:rPr>
                <w:b/>
                <w:spacing w:val="-10"/>
                <w:sz w:val="26"/>
                <w:szCs w:val="26"/>
              </w:rPr>
            </w:pPr>
            <w:r w:rsidRPr="00FF43B7">
              <w:rPr>
                <w:rFonts w:ascii="Times New Roman Bold" w:hAnsi="Times New Roman Bold"/>
                <w:b/>
                <w:noProof/>
                <w:spacing w:val="-14"/>
                <w:sz w:val="26"/>
                <w:szCs w:val="26"/>
                <w:lang w:val="vi-VN" w:eastAsia="vi-VN"/>
              </w:rPr>
              <mc:AlternateContent>
                <mc:Choice Requires="wps">
                  <w:drawing>
                    <wp:anchor distT="0" distB="0" distL="114300" distR="114300" simplePos="0" relativeHeight="251659264" behindDoc="0" locked="0" layoutInCell="1" allowOverlap="1" wp14:anchorId="02BD81EC" wp14:editId="3B2DE272">
                      <wp:simplePos x="0" y="0"/>
                      <wp:positionH relativeFrom="column">
                        <wp:posOffset>901065</wp:posOffset>
                      </wp:positionH>
                      <wp:positionV relativeFrom="paragraph">
                        <wp:posOffset>36830</wp:posOffset>
                      </wp:positionV>
                      <wp:extent cx="971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C020E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95pt,2.9pt" to="14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" strokecolor="black [3200]" strokeweight=".5pt">
                      <v:stroke joinstyle="miter"/>
                    </v:line>
                  </w:pict>
                </mc:Fallback>
              </mc:AlternateContent>
            </w:r>
          </w:p>
          <w:p w14:paraId="35B12996" w14:textId="77777777" w:rsidR="00417617" w:rsidRPr="00FF43B7" w:rsidRDefault="00417617" w:rsidP="00BA58F1">
            <w:pPr>
              <w:jc w:val="center"/>
            </w:pPr>
            <w:r w:rsidRPr="00FF43B7">
              <w:rPr>
                <w:spacing w:val="-10"/>
                <w:sz w:val="26"/>
                <w:szCs w:val="26"/>
              </w:rPr>
              <w:t xml:space="preserve"> </w:t>
            </w:r>
          </w:p>
        </w:tc>
        <w:tc>
          <w:tcPr>
            <w:tcW w:w="9922" w:type="dxa"/>
          </w:tcPr>
          <w:p w14:paraId="68953821" w14:textId="77777777" w:rsidR="00417617" w:rsidRPr="00FF43B7" w:rsidRDefault="00417617" w:rsidP="00BA58F1">
            <w:pPr>
              <w:jc w:val="center"/>
              <w:rPr>
                <w:rFonts w:ascii="Times New Roman Bold" w:hAnsi="Times New Roman Bold"/>
                <w:b/>
                <w:spacing w:val="-12"/>
                <w:sz w:val="26"/>
                <w:szCs w:val="26"/>
              </w:rPr>
            </w:pPr>
            <w:r w:rsidRPr="00FF43B7">
              <w:rPr>
                <w:rFonts w:ascii="Times New Roman Bold" w:hAnsi="Times New Roman Bold"/>
                <w:b/>
                <w:spacing w:val="-12"/>
                <w:sz w:val="26"/>
                <w:szCs w:val="26"/>
              </w:rPr>
              <w:t xml:space="preserve">                                                         CỘNG HÒA XÃ HỘI CHỦ NGHĨA VIỆT NAM</w:t>
            </w:r>
          </w:p>
          <w:p w14:paraId="3F97459F" w14:textId="77777777" w:rsidR="00417617" w:rsidRPr="00FF43B7" w:rsidRDefault="00417617" w:rsidP="00BA58F1">
            <w:pPr>
              <w:jc w:val="center"/>
              <w:rPr>
                <w:rFonts w:ascii="Times New Roman Bold" w:hAnsi="Times New Roman Bold"/>
                <w:b/>
                <w:spacing w:val="-10"/>
              </w:rPr>
            </w:pPr>
            <w:r w:rsidRPr="00FF43B7">
              <w:rPr>
                <w:rFonts w:ascii="Times New Roman Bold" w:hAnsi="Times New Roman Bold"/>
                <w:b/>
                <w:spacing w:val="-10"/>
              </w:rPr>
              <w:t xml:space="preserve">                                                    Độc lập - Tự do - Hạnh phúc</w:t>
            </w:r>
          </w:p>
          <w:p w14:paraId="2956B35D" w14:textId="77777777" w:rsidR="00417617" w:rsidRPr="00FF43B7" w:rsidRDefault="00417617" w:rsidP="00BA58F1">
            <w:pPr>
              <w:jc w:val="center"/>
            </w:pPr>
            <w:r w:rsidRPr="00FF43B7">
              <w:rPr>
                <w:noProof/>
                <w:lang w:val="vi-VN" w:eastAsia="vi-VN"/>
              </w:rPr>
              <mc:AlternateContent>
                <mc:Choice Requires="wps">
                  <w:drawing>
                    <wp:anchor distT="0" distB="0" distL="114300" distR="114300" simplePos="0" relativeHeight="251660288" behindDoc="0" locked="0" layoutInCell="1" allowOverlap="1" wp14:anchorId="6A551398" wp14:editId="5CDD9971">
                      <wp:simplePos x="0" y="0"/>
                      <wp:positionH relativeFrom="column">
                        <wp:posOffset>3048635</wp:posOffset>
                      </wp:positionH>
                      <wp:positionV relativeFrom="paragraph">
                        <wp:posOffset>22860</wp:posOffset>
                      </wp:positionV>
                      <wp:extent cx="19907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50B25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0.05pt,1.8pt" to="39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" strokecolor="black [3200]" strokeweight=".5pt">
                      <v:stroke joinstyle="miter"/>
                    </v:line>
                  </w:pict>
                </mc:Fallback>
              </mc:AlternateContent>
            </w:r>
            <w:r w:rsidRPr="00FF43B7">
              <w:rPr>
                <w:noProof/>
              </w:rPr>
              <w:t xml:space="preserve">      </w:t>
            </w:r>
          </w:p>
          <w:p w14:paraId="7E2BBF03" w14:textId="44D45EA3" w:rsidR="00417617" w:rsidRPr="00FF43B7" w:rsidRDefault="00417617" w:rsidP="00BA58F1">
            <w:pPr>
              <w:rPr>
                <w:rFonts w:ascii="Times New Roman Italic" w:hAnsi="Times New Roman Italic"/>
                <w:i/>
                <w:spacing w:val="-6"/>
              </w:rPr>
            </w:pPr>
            <w:r w:rsidRPr="00FF43B7">
              <w:rPr>
                <w:rFonts w:ascii="Times New Roman Italic" w:hAnsi="Times New Roman Italic"/>
                <w:i/>
                <w:spacing w:val="-6"/>
              </w:rPr>
              <w:t xml:space="preserve">                                                              Thái Nguyên, ngày  </w:t>
            </w:r>
            <w:r w:rsidR="00903E94">
              <w:rPr>
                <w:rFonts w:ascii="Times New Roman Italic" w:hAnsi="Times New Roman Italic"/>
                <w:i/>
                <w:spacing w:val="-6"/>
              </w:rPr>
              <w:t>02</w:t>
            </w:r>
            <w:r w:rsidRPr="00FF43B7">
              <w:rPr>
                <w:rFonts w:ascii="Times New Roman Italic" w:hAnsi="Times New Roman Italic"/>
                <w:i/>
                <w:spacing w:val="-6"/>
              </w:rPr>
              <w:t xml:space="preserve">  tháng </w:t>
            </w:r>
            <w:r w:rsidR="00903E94">
              <w:rPr>
                <w:rFonts w:ascii="Times New Roman Italic" w:hAnsi="Times New Roman Italic"/>
                <w:i/>
                <w:spacing w:val="-6"/>
              </w:rPr>
              <w:t>6</w:t>
            </w:r>
            <w:r w:rsidRPr="00FF43B7">
              <w:rPr>
                <w:rFonts w:ascii="Times New Roman Italic" w:hAnsi="Times New Roman Italic"/>
                <w:i/>
                <w:spacing w:val="-6"/>
              </w:rPr>
              <w:t xml:space="preserve"> năm 2026</w:t>
            </w:r>
          </w:p>
        </w:tc>
      </w:tr>
    </w:tbl>
    <w:p w14:paraId="4BFE4644" w14:textId="77777777" w:rsidR="00417617" w:rsidRPr="00FF43B7" w:rsidRDefault="00417617" w:rsidP="00417617"/>
    <w:p w14:paraId="74DA8F05" w14:textId="77777777" w:rsidR="00417617" w:rsidRPr="00FF43B7" w:rsidRDefault="00417617" w:rsidP="00417617">
      <w:pPr>
        <w:jc w:val="center"/>
        <w:rPr>
          <w:b/>
        </w:rPr>
      </w:pPr>
      <w:r w:rsidRPr="00FF43B7">
        <w:rPr>
          <w:b/>
        </w:rPr>
        <w:t xml:space="preserve">BẢN SO SÁNH, THUYẾT MINH NỘI DUNG </w:t>
      </w:r>
    </w:p>
    <w:p w14:paraId="7FAD975E" w14:textId="46B577DF" w:rsidR="00417617" w:rsidRPr="00FF43B7" w:rsidRDefault="00417617" w:rsidP="00417617">
      <w:pPr>
        <w:jc w:val="center"/>
        <w:rPr>
          <w:b/>
        </w:rPr>
      </w:pPr>
      <w:r w:rsidRPr="00FF43B7">
        <w:rPr>
          <w:b/>
        </w:rPr>
        <w:t>DỰ THẢO NGHỊ QUYẾT QUY ĐỊNH QUY ĐỊNH KHÔNG ĐƯỢC PHÉP CHĂN NUÔI VÀ CHÍNH SÁCH HỖ TRỢ KHI DI DỜI CƠ SỞ CHĂN NUÔI RA KHỎI KHU VỰC KHÔNG ĐƯỢC PHÉP CHĂN NUÔI TRÊN ĐỊA BÀN TỈNH THÁI NGUYÊN VỚI QUY ĐỊNH PHÁP LUẬT HIỆN HÀNH</w:t>
      </w:r>
    </w:p>
    <w:p w14:paraId="4194E85C" w14:textId="77777777" w:rsidR="00417617" w:rsidRPr="00FF43B7" w:rsidRDefault="00417617" w:rsidP="00417617">
      <w:pPr>
        <w:jc w:val="center"/>
        <w:rPr>
          <w:b/>
        </w:rPr>
      </w:pPr>
      <w:r w:rsidRPr="00FF43B7">
        <w:rPr>
          <w:b/>
          <w:noProof/>
          <w:lang w:val="vi-VN" w:eastAsia="vi-VN"/>
        </w:rPr>
        <mc:AlternateContent>
          <mc:Choice Requires="wps">
            <w:drawing>
              <wp:anchor distT="0" distB="0" distL="114300" distR="114300" simplePos="0" relativeHeight="251661312" behindDoc="0" locked="0" layoutInCell="1" allowOverlap="1" wp14:anchorId="3C545B1E" wp14:editId="0B386A4A">
                <wp:simplePos x="0" y="0"/>
                <wp:positionH relativeFrom="column">
                  <wp:posOffset>3626485</wp:posOffset>
                </wp:positionH>
                <wp:positionV relativeFrom="paragraph">
                  <wp:posOffset>30480</wp:posOffset>
                </wp:positionV>
                <wp:extent cx="1666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1BBCA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55pt,2.4pt" to="41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" strokecolor="black [3200]" strokeweight=".5pt">
                <v:stroke joinstyle="miter"/>
              </v:line>
            </w:pict>
          </mc:Fallback>
        </mc:AlternateContent>
      </w:r>
    </w:p>
    <w:p w14:paraId="08A2EAF7" w14:textId="3AC4888B" w:rsidR="00417617" w:rsidRPr="00FF43B7" w:rsidRDefault="00417617" w:rsidP="00417617">
      <w:pPr>
        <w:rPr>
          <w:b/>
        </w:rPr>
      </w:pPr>
    </w:p>
    <w:tbl>
      <w:tblPr>
        <w:tblStyle w:val="LiBang"/>
        <w:tblW w:w="16126" w:type="dxa"/>
        <w:tblInd w:w="-714" w:type="dxa"/>
        <w:tblLook w:val="04A0" w:firstRow="1" w:lastRow="0" w:firstColumn="1" w:lastColumn="0" w:noHBand="0" w:noVBand="1"/>
      </w:tblPr>
      <w:tblGrid>
        <w:gridCol w:w="562"/>
        <w:gridCol w:w="3407"/>
        <w:gridCol w:w="3544"/>
        <w:gridCol w:w="2977"/>
        <w:gridCol w:w="2835"/>
        <w:gridCol w:w="2801"/>
      </w:tblGrid>
      <w:tr w:rsidR="00FF43B7" w:rsidRPr="00FF43B7" w14:paraId="4B4006C1" w14:textId="77777777" w:rsidTr="00BA58F1">
        <w:trPr>
          <w:tblHeader/>
        </w:trPr>
        <w:tc>
          <w:tcPr>
            <w:tcW w:w="562" w:type="dxa"/>
            <w:vAlign w:val="center"/>
          </w:tcPr>
          <w:p w14:paraId="6D1CBB87" w14:textId="77777777" w:rsidR="00417617" w:rsidRPr="00FF43B7" w:rsidRDefault="00417617" w:rsidP="00BA58F1">
            <w:pPr>
              <w:jc w:val="center"/>
              <w:rPr>
                <w:rFonts w:cs="Times New Roman"/>
                <w:b/>
                <w:sz w:val="20"/>
                <w:szCs w:val="20"/>
              </w:rPr>
            </w:pPr>
            <w:r w:rsidRPr="00FF43B7">
              <w:rPr>
                <w:rFonts w:cs="Times New Roman"/>
                <w:b/>
                <w:sz w:val="20"/>
                <w:szCs w:val="20"/>
              </w:rPr>
              <w:t>TT</w:t>
            </w:r>
          </w:p>
        </w:tc>
        <w:tc>
          <w:tcPr>
            <w:tcW w:w="3407" w:type="dxa"/>
            <w:vAlign w:val="center"/>
          </w:tcPr>
          <w:p w14:paraId="025313EC" w14:textId="531C76A9" w:rsidR="00417617" w:rsidRPr="00FF43B7" w:rsidRDefault="008A683B" w:rsidP="00BA58F1">
            <w:pPr>
              <w:jc w:val="center"/>
              <w:rPr>
                <w:rFonts w:cs="Times New Roman"/>
                <w:b/>
                <w:sz w:val="20"/>
                <w:szCs w:val="20"/>
              </w:rPr>
            </w:pPr>
            <w:r w:rsidRPr="00FF43B7">
              <w:rPr>
                <w:rFonts w:cs="Times New Roman"/>
                <w:b/>
                <w:sz w:val="20"/>
                <w:szCs w:val="20"/>
              </w:rPr>
              <w:t>Nghị quyết số 12/2020/NQ-HĐND ngày 11 tháng 12 năm 2020 của Hội đồng nhân dân tỉnh Thái Nguyên</w:t>
            </w:r>
          </w:p>
        </w:tc>
        <w:tc>
          <w:tcPr>
            <w:tcW w:w="3544" w:type="dxa"/>
            <w:vAlign w:val="center"/>
          </w:tcPr>
          <w:p w14:paraId="482FEB2C" w14:textId="77777777" w:rsidR="00417617" w:rsidRPr="00FF43B7" w:rsidRDefault="00417617" w:rsidP="00BA58F1">
            <w:pPr>
              <w:jc w:val="center"/>
              <w:rPr>
                <w:rFonts w:cs="Times New Roman"/>
                <w:b/>
                <w:sz w:val="20"/>
                <w:szCs w:val="20"/>
              </w:rPr>
            </w:pPr>
            <w:r w:rsidRPr="00FF43B7">
              <w:rPr>
                <w:rFonts w:cs="Times New Roman"/>
                <w:b/>
                <w:sz w:val="20"/>
                <w:szCs w:val="20"/>
              </w:rPr>
              <w:t>Dự thảo mới</w:t>
            </w:r>
          </w:p>
        </w:tc>
        <w:tc>
          <w:tcPr>
            <w:tcW w:w="2977" w:type="dxa"/>
            <w:vAlign w:val="center"/>
          </w:tcPr>
          <w:p w14:paraId="715DD7CB" w14:textId="77777777" w:rsidR="00417617" w:rsidRPr="00FF43B7" w:rsidRDefault="00417617" w:rsidP="00BA58F1">
            <w:pPr>
              <w:jc w:val="center"/>
              <w:rPr>
                <w:rFonts w:cs="Times New Roman"/>
                <w:b/>
                <w:sz w:val="20"/>
                <w:szCs w:val="20"/>
              </w:rPr>
            </w:pPr>
            <w:r w:rsidRPr="00FF43B7">
              <w:rPr>
                <w:rFonts w:cs="Times New Roman"/>
                <w:b/>
                <w:sz w:val="20"/>
                <w:szCs w:val="20"/>
              </w:rPr>
              <w:t>Nội dung kế thừa</w:t>
            </w:r>
          </w:p>
        </w:tc>
        <w:tc>
          <w:tcPr>
            <w:tcW w:w="2835" w:type="dxa"/>
            <w:vAlign w:val="center"/>
          </w:tcPr>
          <w:p w14:paraId="382C6B4D" w14:textId="77777777" w:rsidR="00417617" w:rsidRPr="00FF43B7" w:rsidRDefault="00417617" w:rsidP="00BA58F1">
            <w:pPr>
              <w:jc w:val="center"/>
              <w:rPr>
                <w:rFonts w:cs="Times New Roman"/>
                <w:b/>
                <w:sz w:val="20"/>
                <w:szCs w:val="20"/>
              </w:rPr>
            </w:pPr>
            <w:r w:rsidRPr="00FF43B7">
              <w:rPr>
                <w:rFonts w:cs="Times New Roman"/>
                <w:b/>
                <w:sz w:val="20"/>
                <w:szCs w:val="20"/>
              </w:rPr>
              <w:t>Nội dung sửa đổi, bổ sung, bãi bỏ</w:t>
            </w:r>
          </w:p>
        </w:tc>
        <w:tc>
          <w:tcPr>
            <w:tcW w:w="2801" w:type="dxa"/>
            <w:vAlign w:val="center"/>
          </w:tcPr>
          <w:p w14:paraId="1B1D39D3" w14:textId="77777777" w:rsidR="00417617" w:rsidRPr="00FF43B7" w:rsidRDefault="00417617" w:rsidP="00BA58F1">
            <w:pPr>
              <w:jc w:val="center"/>
              <w:rPr>
                <w:rFonts w:cs="Times New Roman"/>
                <w:b/>
                <w:sz w:val="20"/>
                <w:szCs w:val="20"/>
              </w:rPr>
            </w:pPr>
            <w:r w:rsidRPr="00FF43B7">
              <w:rPr>
                <w:rFonts w:cs="Times New Roman"/>
                <w:b/>
                <w:sz w:val="20"/>
                <w:szCs w:val="20"/>
              </w:rPr>
              <w:t>Cơ sở, căn cứ, lý do (quy định pháp luật, chủ trương, chính sách, chiến lược, thực tiễn)</w:t>
            </w:r>
          </w:p>
        </w:tc>
      </w:tr>
      <w:tr w:rsidR="00FF43B7" w:rsidRPr="00FF43B7" w14:paraId="2DE1E1B4" w14:textId="77777777" w:rsidTr="00BA58F1">
        <w:tc>
          <w:tcPr>
            <w:tcW w:w="562" w:type="dxa"/>
          </w:tcPr>
          <w:p w14:paraId="724FEF4E" w14:textId="77777777" w:rsidR="00417617" w:rsidRPr="00FF43B7" w:rsidRDefault="00417617" w:rsidP="00BA58F1">
            <w:pPr>
              <w:rPr>
                <w:rFonts w:cs="Times New Roman"/>
                <w:b/>
                <w:bCs/>
                <w:sz w:val="20"/>
                <w:szCs w:val="20"/>
              </w:rPr>
            </w:pPr>
          </w:p>
        </w:tc>
        <w:tc>
          <w:tcPr>
            <w:tcW w:w="3407" w:type="dxa"/>
          </w:tcPr>
          <w:p w14:paraId="7F9C7154" w14:textId="77777777" w:rsidR="00417617" w:rsidRPr="00FF43B7" w:rsidRDefault="00417617" w:rsidP="00BA58F1">
            <w:pPr>
              <w:shd w:val="clear" w:color="auto" w:fill="FFFFFF"/>
              <w:rPr>
                <w:rFonts w:eastAsia="Times New Roman" w:cs="Times New Roman"/>
                <w:b/>
                <w:bCs/>
                <w:sz w:val="20"/>
                <w:szCs w:val="20"/>
              </w:rPr>
            </w:pPr>
          </w:p>
        </w:tc>
        <w:tc>
          <w:tcPr>
            <w:tcW w:w="3544" w:type="dxa"/>
          </w:tcPr>
          <w:p w14:paraId="2FB4963B" w14:textId="77777777" w:rsidR="00417617" w:rsidRPr="00FF43B7" w:rsidRDefault="00417617" w:rsidP="00BA58F1">
            <w:pPr>
              <w:jc w:val="both"/>
              <w:rPr>
                <w:rFonts w:cs="Times New Roman"/>
                <w:sz w:val="20"/>
                <w:szCs w:val="20"/>
              </w:rPr>
            </w:pPr>
            <w:r w:rsidRPr="00FF43B7">
              <w:rPr>
                <w:rFonts w:eastAsia="Times New Roman" w:cs="Times New Roman"/>
                <w:b/>
                <w:bCs/>
                <w:sz w:val="20"/>
                <w:szCs w:val="20"/>
              </w:rPr>
              <w:t>A. DỰ THẢO NGHỊ QUYẾT</w:t>
            </w:r>
          </w:p>
        </w:tc>
        <w:tc>
          <w:tcPr>
            <w:tcW w:w="2977" w:type="dxa"/>
          </w:tcPr>
          <w:p w14:paraId="3DF432DF" w14:textId="77777777" w:rsidR="00417617" w:rsidRPr="00FF43B7" w:rsidRDefault="00417617" w:rsidP="00BA58F1">
            <w:pPr>
              <w:jc w:val="both"/>
              <w:rPr>
                <w:rFonts w:cs="Times New Roman"/>
                <w:sz w:val="20"/>
                <w:szCs w:val="20"/>
              </w:rPr>
            </w:pPr>
          </w:p>
        </w:tc>
        <w:tc>
          <w:tcPr>
            <w:tcW w:w="2835" w:type="dxa"/>
          </w:tcPr>
          <w:p w14:paraId="5C505BE4" w14:textId="77777777" w:rsidR="00417617" w:rsidRPr="00FF43B7" w:rsidRDefault="00417617" w:rsidP="00BA58F1">
            <w:pPr>
              <w:jc w:val="both"/>
              <w:rPr>
                <w:rFonts w:cs="Times New Roman"/>
                <w:sz w:val="20"/>
                <w:szCs w:val="20"/>
              </w:rPr>
            </w:pPr>
          </w:p>
        </w:tc>
        <w:tc>
          <w:tcPr>
            <w:tcW w:w="2801" w:type="dxa"/>
          </w:tcPr>
          <w:p w14:paraId="11E23397" w14:textId="77777777" w:rsidR="00417617" w:rsidRPr="00FF43B7" w:rsidRDefault="00417617" w:rsidP="00BA58F1">
            <w:pPr>
              <w:jc w:val="both"/>
              <w:rPr>
                <w:rFonts w:cs="Times New Roman"/>
                <w:sz w:val="20"/>
                <w:szCs w:val="20"/>
              </w:rPr>
            </w:pPr>
          </w:p>
        </w:tc>
      </w:tr>
      <w:tr w:rsidR="00FF43B7" w:rsidRPr="00FF43B7" w14:paraId="5AE0F255" w14:textId="77777777" w:rsidTr="00BA58F1">
        <w:tc>
          <w:tcPr>
            <w:tcW w:w="562" w:type="dxa"/>
          </w:tcPr>
          <w:p w14:paraId="4D9C728F" w14:textId="77777777" w:rsidR="00417617" w:rsidRPr="00FF43B7" w:rsidRDefault="00417617" w:rsidP="00BA58F1">
            <w:pPr>
              <w:rPr>
                <w:rFonts w:cs="Times New Roman"/>
                <w:sz w:val="20"/>
                <w:szCs w:val="20"/>
              </w:rPr>
            </w:pPr>
          </w:p>
        </w:tc>
        <w:tc>
          <w:tcPr>
            <w:tcW w:w="3407" w:type="dxa"/>
          </w:tcPr>
          <w:p w14:paraId="00321075" w14:textId="77777777" w:rsidR="00421A6C" w:rsidRPr="00FF43B7" w:rsidRDefault="00421A6C" w:rsidP="00421A6C">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Điều 1. Phạm vi điều chỉnh và đối tượng áp dụng</w:t>
            </w:r>
          </w:p>
          <w:p w14:paraId="1BAE0AC9" w14:textId="77777777" w:rsidR="00421A6C" w:rsidRPr="00FF43B7" w:rsidRDefault="00421A6C" w:rsidP="00421A6C">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1. Phạm vi điều chỉnh </w:t>
            </w:r>
          </w:p>
          <w:p w14:paraId="7EE06FEC" w14:textId="77777777" w:rsidR="00421A6C" w:rsidRPr="00FF43B7" w:rsidRDefault="00421A6C" w:rsidP="00421A6C">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Quy định về khu vực không được phép chăn nuôi và chính sách hỗ trợ khi ngừng hoạt động chăn nuôi hoặc di dời cơ sở chăn nuôi ra khỏi khu vực không được phép chăn nuôi trên địa bàn tỉnh Thái Nguyên.</w:t>
            </w:r>
          </w:p>
          <w:p w14:paraId="0332B416" w14:textId="77777777" w:rsidR="00421A6C" w:rsidRPr="00FF43B7" w:rsidRDefault="00421A6C" w:rsidP="00421A6C">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2. Đối tượng áp dụng</w:t>
            </w:r>
          </w:p>
          <w:p w14:paraId="1F5EDD01" w14:textId="4B337381" w:rsidR="00421A6C" w:rsidRPr="00FF43B7" w:rsidRDefault="00421A6C" w:rsidP="00421A6C">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Tổ chức, cá nhân người Việt Nam, người nước ngoài có cơ sở chăn nuôi gia súc, gia cầm trong khu vực không được phép chăn nuôi của thành phố, thị xã, thị trấn, khu dân cư; trừ nuôi động vật làm cảnh, nuôi động vật trong phòng thí nghiệm mà không gây ô nhiễm môi trường.</w:t>
            </w:r>
          </w:p>
        </w:tc>
        <w:tc>
          <w:tcPr>
            <w:tcW w:w="3544" w:type="dxa"/>
          </w:tcPr>
          <w:p w14:paraId="67730A6B" w14:textId="77777777" w:rsidR="00B01E5F" w:rsidRPr="00FF43B7" w:rsidRDefault="00B01E5F" w:rsidP="00B01E5F">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Điều 1. Phạm vi điều chỉnh và đối tượng áp dụng</w:t>
            </w:r>
          </w:p>
          <w:p w14:paraId="4363A77A" w14:textId="77777777" w:rsidR="00B01E5F" w:rsidRPr="00FF43B7" w:rsidRDefault="00B01E5F" w:rsidP="00B01E5F">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1. Phạm vi điều chỉnh</w:t>
            </w:r>
          </w:p>
          <w:p w14:paraId="611CCFC8" w14:textId="77777777" w:rsidR="00B01E5F" w:rsidRPr="00FF43B7" w:rsidRDefault="00B01E5F" w:rsidP="00B01E5F">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Nghị quyết này quy định khu vực không được phép chăn nuôi và chính sách hỗ trợ khi di dời cơ sở chăn nuôi ra khỏi khu vực không được phép chăn nuôi trên địa bàn tỉnh Thái Nguyên.</w:t>
            </w:r>
          </w:p>
          <w:p w14:paraId="295C0B0B" w14:textId="77777777" w:rsidR="00B01E5F" w:rsidRPr="00FF43B7" w:rsidRDefault="00B01E5F" w:rsidP="00B01E5F">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2. Đối tượng áp dụng</w:t>
            </w:r>
          </w:p>
          <w:p w14:paraId="4B20613D" w14:textId="77777777" w:rsidR="00B01E5F" w:rsidRPr="00FF43B7" w:rsidRDefault="00B01E5F" w:rsidP="00B01E5F">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a) Tổ chức, cá nhân người Việt Nam, người nước ngoài có cơ sở chăn nuôi gia súc, gia cầm trong khu vực không được phép chăn nuôi; trừ nuôi động vật làm cảnh, nuôi động vật trong phòng thí nghiệm mà không gây ô nhiễm môi trường;</w:t>
            </w:r>
          </w:p>
          <w:p w14:paraId="1EA59662" w14:textId="343F3C80" w:rsidR="00417617" w:rsidRPr="00FF43B7" w:rsidRDefault="00B01E5F" w:rsidP="00B01E5F">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b) Các cơ quan, tổ chức, cá nhân có liên quan trong việc thực hiện quy định tại Nghị quyết này.</w:t>
            </w:r>
          </w:p>
        </w:tc>
        <w:tc>
          <w:tcPr>
            <w:tcW w:w="2977" w:type="dxa"/>
          </w:tcPr>
          <w:p w14:paraId="53317263" w14:textId="2C3A872B" w:rsidR="00417617" w:rsidRPr="00FF43B7" w:rsidRDefault="00B01E5F" w:rsidP="00BA58F1">
            <w:pPr>
              <w:shd w:val="clear" w:color="auto" w:fill="FFFFFF"/>
              <w:jc w:val="both"/>
              <w:rPr>
                <w:rFonts w:cs="Times New Roman"/>
                <w:sz w:val="20"/>
                <w:szCs w:val="20"/>
              </w:rPr>
            </w:pPr>
            <w:r w:rsidRPr="00FF43B7">
              <w:rPr>
                <w:rFonts w:cs="Times New Roman"/>
                <w:sz w:val="20"/>
                <w:szCs w:val="20"/>
              </w:rPr>
              <w:t>Kế thừa</w:t>
            </w:r>
            <w:r w:rsidR="00421A6C" w:rsidRPr="00FF43B7">
              <w:rPr>
                <w:rFonts w:cs="Times New Roman"/>
                <w:sz w:val="20"/>
                <w:szCs w:val="20"/>
              </w:rPr>
              <w:t xml:space="preserve"> </w:t>
            </w:r>
            <w:r w:rsidR="00F6709C" w:rsidRPr="00FF43B7">
              <w:rPr>
                <w:rFonts w:cs="Times New Roman"/>
                <w:sz w:val="20"/>
                <w:szCs w:val="20"/>
              </w:rPr>
              <w:t>một phần</w:t>
            </w:r>
          </w:p>
        </w:tc>
        <w:tc>
          <w:tcPr>
            <w:tcW w:w="2835" w:type="dxa"/>
          </w:tcPr>
          <w:p w14:paraId="4C8B65A1" w14:textId="36966B4C" w:rsidR="00417617" w:rsidRPr="00FF43B7" w:rsidRDefault="00F6709C" w:rsidP="00BA58F1">
            <w:pPr>
              <w:jc w:val="both"/>
              <w:rPr>
                <w:rFonts w:cs="Times New Roman"/>
                <w:sz w:val="20"/>
                <w:szCs w:val="20"/>
              </w:rPr>
            </w:pPr>
            <w:r w:rsidRPr="00FF43B7">
              <w:rPr>
                <w:rFonts w:cs="Times New Roman"/>
                <w:sz w:val="20"/>
                <w:szCs w:val="20"/>
              </w:rPr>
              <w:t>Bổ sung nội dung:</w:t>
            </w:r>
            <w:r w:rsidRPr="00FF43B7">
              <w:t xml:space="preserve"> </w:t>
            </w:r>
            <w:r w:rsidRPr="00FF43B7">
              <w:rPr>
                <w:rFonts w:cs="Times New Roman"/>
                <w:sz w:val="20"/>
                <w:szCs w:val="20"/>
              </w:rPr>
              <w:t>Các cơ quan, tổ chức, cá nhân có liên quan trong việc thực hiện quy định tại Nghị quyết này.</w:t>
            </w:r>
          </w:p>
          <w:p w14:paraId="2AFE335B" w14:textId="78E5EF83" w:rsidR="00F6709C" w:rsidRPr="00FF43B7" w:rsidRDefault="00F6709C" w:rsidP="00BA58F1">
            <w:pPr>
              <w:jc w:val="both"/>
              <w:rPr>
                <w:rFonts w:cs="Times New Roman"/>
                <w:sz w:val="20"/>
                <w:szCs w:val="20"/>
              </w:rPr>
            </w:pPr>
          </w:p>
        </w:tc>
        <w:tc>
          <w:tcPr>
            <w:tcW w:w="2801" w:type="dxa"/>
          </w:tcPr>
          <w:p w14:paraId="7504F968" w14:textId="77777777" w:rsidR="00417617" w:rsidRPr="00FF43B7" w:rsidRDefault="00417617" w:rsidP="00BA58F1">
            <w:pPr>
              <w:jc w:val="both"/>
              <w:rPr>
                <w:rFonts w:cs="Times New Roman"/>
                <w:sz w:val="20"/>
                <w:szCs w:val="20"/>
              </w:rPr>
            </w:pPr>
            <w:r w:rsidRPr="00FF43B7">
              <w:rPr>
                <w:rFonts w:cs="Times New Roman"/>
                <w:sz w:val="20"/>
                <w:szCs w:val="20"/>
              </w:rPr>
              <w:t>Phù hợp với dự thảo Nghị quyết.</w:t>
            </w:r>
          </w:p>
        </w:tc>
      </w:tr>
      <w:tr w:rsidR="00FF43B7" w:rsidRPr="00FF43B7" w14:paraId="6D055413" w14:textId="77777777" w:rsidTr="00BA58F1">
        <w:tc>
          <w:tcPr>
            <w:tcW w:w="562" w:type="dxa"/>
          </w:tcPr>
          <w:p w14:paraId="2753492E" w14:textId="77777777" w:rsidR="00421A6C" w:rsidRPr="00FF43B7" w:rsidRDefault="00421A6C" w:rsidP="00BA58F1">
            <w:pPr>
              <w:rPr>
                <w:rFonts w:cs="Times New Roman"/>
                <w:sz w:val="20"/>
                <w:szCs w:val="20"/>
              </w:rPr>
            </w:pPr>
          </w:p>
        </w:tc>
        <w:tc>
          <w:tcPr>
            <w:tcW w:w="3407" w:type="dxa"/>
          </w:tcPr>
          <w:p w14:paraId="35373B38" w14:textId="77777777" w:rsidR="008A683B" w:rsidRPr="00FF43B7" w:rsidRDefault="008A683B" w:rsidP="008A683B">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Điều 2. Quy định khu vực thuộc nội thành của thành phố, thị xã, thị trấn, khu </w:t>
            </w:r>
            <w:r w:rsidRPr="00FF43B7">
              <w:rPr>
                <w:rFonts w:eastAsia="Times New Roman"/>
                <w:spacing w:val="-4"/>
                <w:sz w:val="20"/>
                <w:szCs w:val="20"/>
              </w:rPr>
              <w:lastRenderedPageBreak/>
              <w:t xml:space="preserve">dân cư trên địa bàn tỉnh không được phép chăn nuôi </w:t>
            </w:r>
          </w:p>
          <w:p w14:paraId="22E7AA90" w14:textId="77777777" w:rsidR="008A683B" w:rsidRPr="00FF43B7" w:rsidRDefault="008A683B" w:rsidP="008A683B">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1. Khu vực không được phép chăn nuôi gia súc, gia cầm, bao gồm: Các phường, thị trấn, khu dân cư thuộc các thành phố, thị xã, các huyện trên địa bàn tỉnh Thái Nguyên có tỷ lệ lao động phi nông nghiệp chiếm từ 85% trở lên và tổng diện tích nhóm đất phi nông nghiệp chiếm tỷ lệ từ 80% trở lên so với tổng diện tích đất tự nhiên.</w:t>
            </w:r>
          </w:p>
          <w:p w14:paraId="2C871A46" w14:textId="13F3E13E" w:rsidR="008A683B" w:rsidRPr="00FF43B7" w:rsidRDefault="008A683B" w:rsidP="008A683B">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2. Thời hạn các cơ sở chăn nuôi ngừng hoạt động chăn nuôi hoặc di dời đến địa điểm chăn nuôi phù hợp tối đa là 05 năm kể từ khi Quyết định</w:t>
            </w:r>
            <w:r w:rsidR="008521AE" w:rsidRPr="00FF43B7">
              <w:rPr>
                <w:rFonts w:eastAsia="Times New Roman"/>
                <w:spacing w:val="-4"/>
                <w:sz w:val="20"/>
                <w:szCs w:val="20"/>
              </w:rPr>
              <w:t xml:space="preserve"> công bố khu vực không được phép chăn </w:t>
            </w:r>
            <w:r w:rsidRPr="00FF43B7">
              <w:rPr>
                <w:rFonts w:eastAsia="Times New Roman"/>
                <w:spacing w:val="-4"/>
                <w:sz w:val="20"/>
                <w:szCs w:val="20"/>
              </w:rPr>
              <w:t xml:space="preserve"> nuôi của cơ quan có thẩm quyền có hiệu lực thi hành.</w:t>
            </w:r>
          </w:p>
          <w:p w14:paraId="412B2CB2" w14:textId="5607BF9A" w:rsidR="00421A6C" w:rsidRPr="00FF43B7" w:rsidRDefault="008A683B" w:rsidP="008A683B">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3. Căn cứ vào tiêu chí quy định khu vực không được phép chăn nuôi tại Khoản 1, Điều 2 của Nghị quyết này, Uỷ ban nhân dân tỉnh ban hành Quyết định danh sách các phường, thị trấn, khu dân cư không được phép chăn nuôi trên địa bàn tỉnh.</w:t>
            </w:r>
          </w:p>
        </w:tc>
        <w:tc>
          <w:tcPr>
            <w:tcW w:w="3544" w:type="dxa"/>
          </w:tcPr>
          <w:p w14:paraId="763DD20A" w14:textId="77777777" w:rsidR="008A683B" w:rsidRPr="00FF43B7" w:rsidRDefault="008A683B" w:rsidP="008A683B">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lastRenderedPageBreak/>
              <w:t>Điều 2. Quy định khu vực không được phép chăn nuôi</w:t>
            </w:r>
          </w:p>
          <w:p w14:paraId="305E9157" w14:textId="6126EEC1" w:rsidR="00421A6C" w:rsidRPr="00FF43B7" w:rsidRDefault="000F6B65" w:rsidP="008A683B">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0F6B65">
              <w:rPr>
                <w:rFonts w:eastAsia="Times New Roman" w:cs="Times New Roman"/>
                <w:sz w:val="20"/>
                <w:szCs w:val="20"/>
              </w:rPr>
              <w:lastRenderedPageBreak/>
              <w:t>Khu vực không được phép chăn nuôi bao gồm các khu vực thuộc các phường, các tổ dân phố; khu vực trung tâm hành chính của các xã có tỷ lệ lao động phi nông nghiệp chiếm từ 85% trở lên và tổng diện tích đất phi nông nghiệp chiếm từ 80% trở lên so với tổng diện tích đất tự nhiên, cụ thể tại Phụ lục ban hành kèm theo Nghị quyết này.</w:t>
            </w:r>
          </w:p>
        </w:tc>
        <w:tc>
          <w:tcPr>
            <w:tcW w:w="2977" w:type="dxa"/>
          </w:tcPr>
          <w:p w14:paraId="36FA86EE" w14:textId="3DF97F8E" w:rsidR="00421A6C" w:rsidRPr="00FF43B7" w:rsidRDefault="008A683B" w:rsidP="00BA58F1">
            <w:pPr>
              <w:shd w:val="clear" w:color="auto" w:fill="FFFFFF"/>
              <w:jc w:val="both"/>
              <w:rPr>
                <w:rFonts w:cs="Times New Roman"/>
                <w:sz w:val="20"/>
                <w:szCs w:val="20"/>
              </w:rPr>
            </w:pPr>
            <w:r w:rsidRPr="00FF43B7">
              <w:rPr>
                <w:rFonts w:cs="Times New Roman"/>
                <w:sz w:val="20"/>
                <w:szCs w:val="20"/>
              </w:rPr>
              <w:lastRenderedPageBreak/>
              <w:t>Kế thừa một phần</w:t>
            </w:r>
            <w:r w:rsidR="00505D12" w:rsidRPr="00FF43B7">
              <w:rPr>
                <w:rFonts w:cs="Times New Roman"/>
                <w:sz w:val="20"/>
                <w:szCs w:val="20"/>
              </w:rPr>
              <w:t xml:space="preserve">, căn cứ để đề xuất khu vực không được phép </w:t>
            </w:r>
            <w:r w:rsidR="00505D12" w:rsidRPr="00FF43B7">
              <w:rPr>
                <w:rFonts w:cs="Times New Roman"/>
                <w:sz w:val="20"/>
                <w:szCs w:val="20"/>
              </w:rPr>
              <w:lastRenderedPageBreak/>
              <w:t>chăn nuôi là địa bàn có tỷ lệ lao động phi nông nghiệp chiếm từ 85% trở lên và tổng diện tích đất phi nông nghiệp chiếm từ 80% trở lên so với tổng diện tích đất tự nhiên.</w:t>
            </w:r>
          </w:p>
        </w:tc>
        <w:tc>
          <w:tcPr>
            <w:tcW w:w="2835" w:type="dxa"/>
          </w:tcPr>
          <w:p w14:paraId="55315AAC" w14:textId="6ABA4E69" w:rsidR="00421A6C" w:rsidRPr="00FF43B7" w:rsidRDefault="008A683B" w:rsidP="00BA58F1">
            <w:pPr>
              <w:jc w:val="both"/>
              <w:rPr>
                <w:rFonts w:cs="Times New Roman"/>
                <w:sz w:val="20"/>
                <w:szCs w:val="20"/>
              </w:rPr>
            </w:pPr>
            <w:r w:rsidRPr="00FF43B7">
              <w:rPr>
                <w:rFonts w:cs="Times New Roman"/>
                <w:sz w:val="20"/>
                <w:szCs w:val="20"/>
              </w:rPr>
              <w:lastRenderedPageBreak/>
              <w:t xml:space="preserve">Sửa đổi so với Nghị quyết số 12/2020/NQ-HĐND ngày </w:t>
            </w:r>
            <w:r w:rsidRPr="00FF43B7">
              <w:rPr>
                <w:rFonts w:cs="Times New Roman"/>
                <w:sz w:val="20"/>
                <w:szCs w:val="20"/>
              </w:rPr>
              <w:lastRenderedPageBreak/>
              <w:t xml:space="preserve">11/11/2020 của HĐND tỉnh Thái Nguyên là </w:t>
            </w:r>
            <w:r w:rsidR="00B430DD" w:rsidRPr="00FF43B7">
              <w:rPr>
                <w:rFonts w:cs="Times New Roman"/>
                <w:sz w:val="20"/>
                <w:szCs w:val="20"/>
              </w:rPr>
              <w:t xml:space="preserve">dự thảo Nghị quyết </w:t>
            </w:r>
            <w:r w:rsidRPr="00FF43B7">
              <w:rPr>
                <w:rFonts w:cs="Times New Roman"/>
                <w:sz w:val="20"/>
                <w:szCs w:val="20"/>
              </w:rPr>
              <w:t>HĐND tỉnh quy định trực tiếp danh sách các khu vực không được phép chăn nuôi thuộc các phường, các tổ dân phố; khu vực trung tâm hành chính của các xã tại phụ lục của dự thảo Nghị quyết, không giao trách nhiệm cho UBND tỉnh ban hành Quyết định danh sách các khu vực không được phép chăn nuôi.</w:t>
            </w:r>
          </w:p>
          <w:p w14:paraId="79C22072" w14:textId="77777777" w:rsidR="00505D12" w:rsidRDefault="005A4C71" w:rsidP="005A4C71">
            <w:pPr>
              <w:jc w:val="both"/>
              <w:rPr>
                <w:rFonts w:cs="Times New Roman"/>
                <w:sz w:val="20"/>
                <w:szCs w:val="20"/>
              </w:rPr>
            </w:pPr>
            <w:r w:rsidRPr="00FF43B7">
              <w:rPr>
                <w:rFonts w:cs="Times New Roman"/>
                <w:sz w:val="20"/>
                <w:szCs w:val="20"/>
              </w:rPr>
              <w:t xml:space="preserve">- </w:t>
            </w:r>
            <w:r w:rsidR="00505D12" w:rsidRPr="00FF43B7">
              <w:rPr>
                <w:rFonts w:cs="Times New Roman"/>
                <w:sz w:val="20"/>
                <w:szCs w:val="20"/>
              </w:rPr>
              <w:t>Danh sách các các khu vực không được phép chăn nuôi</w:t>
            </w:r>
            <w:r w:rsidR="00505D12" w:rsidRPr="00FF43B7">
              <w:t xml:space="preserve"> </w:t>
            </w:r>
            <w:r w:rsidR="00505D12" w:rsidRPr="00FF43B7">
              <w:rPr>
                <w:rFonts w:cs="Times New Roman"/>
                <w:sz w:val="20"/>
                <w:szCs w:val="20"/>
              </w:rPr>
              <w:t>được xây dựng trên cơ sở đề xuất của UBND các xã, phường trên địa bàn tỉnh theo đề nghị của Sở Nông nghiệp và Môi trường tại Công văn số 3439/SNNMT-KHTC ngày 10/4/2026 của Sở Nông nghiệp và Môi trường.</w:t>
            </w:r>
          </w:p>
          <w:p w14:paraId="44172783" w14:textId="6DAC1B4E" w:rsidR="000F6B65" w:rsidRPr="00FF43B7" w:rsidRDefault="000F6B65" w:rsidP="005A4C71">
            <w:pPr>
              <w:jc w:val="both"/>
              <w:rPr>
                <w:rFonts w:cs="Times New Roman"/>
                <w:sz w:val="20"/>
                <w:szCs w:val="20"/>
              </w:rPr>
            </w:pPr>
            <w:r>
              <w:rPr>
                <w:rFonts w:cs="Times New Roman"/>
                <w:sz w:val="20"/>
                <w:szCs w:val="20"/>
              </w:rPr>
              <w:t>- Chuyển khoản 2 của Nghị quyết số 12/2020/NQ-HĐND ngày 11/12/2020 của H</w:t>
            </w:r>
            <w:r w:rsidR="00791452">
              <w:rPr>
                <w:rFonts w:cs="Times New Roman"/>
                <w:sz w:val="20"/>
                <w:szCs w:val="20"/>
              </w:rPr>
              <w:t>Đ</w:t>
            </w:r>
            <w:r>
              <w:rPr>
                <w:rFonts w:cs="Times New Roman"/>
                <w:sz w:val="20"/>
                <w:szCs w:val="20"/>
              </w:rPr>
              <w:t>ND tỉnh sang Điều 4 của dự thảo Nghị quyết, đồng thời quy định thời gian bắt buộc chấm dứt hoạt động chăn nuôi là 36 tháng kể từ ngày Nghị quyết có hiệu lực thi hành.</w:t>
            </w:r>
          </w:p>
        </w:tc>
        <w:tc>
          <w:tcPr>
            <w:tcW w:w="2801" w:type="dxa"/>
          </w:tcPr>
          <w:p w14:paraId="47539844" w14:textId="7EEA8C38" w:rsidR="00421A6C" w:rsidRPr="00FF43B7" w:rsidRDefault="00505D12" w:rsidP="00BA58F1">
            <w:pPr>
              <w:jc w:val="both"/>
              <w:rPr>
                <w:rFonts w:cs="Times New Roman"/>
                <w:sz w:val="20"/>
                <w:szCs w:val="20"/>
              </w:rPr>
            </w:pPr>
            <w:r w:rsidRPr="00FF43B7">
              <w:rPr>
                <w:rFonts w:cs="Times New Roman"/>
                <w:sz w:val="20"/>
                <w:szCs w:val="20"/>
              </w:rPr>
              <w:lastRenderedPageBreak/>
              <w:t>Phù hợp với dự thảo Nghị quyết.</w:t>
            </w:r>
          </w:p>
        </w:tc>
      </w:tr>
      <w:tr w:rsidR="00FF43B7" w:rsidRPr="00FF43B7" w14:paraId="3D5B77E9" w14:textId="77777777" w:rsidTr="00BA58F1">
        <w:tc>
          <w:tcPr>
            <w:tcW w:w="562" w:type="dxa"/>
          </w:tcPr>
          <w:p w14:paraId="11A5C4BF" w14:textId="77777777" w:rsidR="00505D12" w:rsidRPr="00FF43B7" w:rsidRDefault="00505D12" w:rsidP="00BA58F1">
            <w:pPr>
              <w:rPr>
                <w:rFonts w:cs="Times New Roman"/>
                <w:sz w:val="20"/>
                <w:szCs w:val="20"/>
              </w:rPr>
            </w:pPr>
          </w:p>
        </w:tc>
        <w:tc>
          <w:tcPr>
            <w:tcW w:w="3407" w:type="dxa"/>
          </w:tcPr>
          <w:p w14:paraId="3D000E5E" w14:textId="77777777" w:rsidR="00505D12" w:rsidRPr="00FF43B7" w:rsidRDefault="00505D12" w:rsidP="00505D12">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Điều 3. Quy định chính sách hỗ trợ khi ngừng hoạt động chăn nuôi hoặc di dời cơ sở chăn nuôi ra khỏi khu vực không được phép chăn nuôi </w:t>
            </w:r>
          </w:p>
          <w:p w14:paraId="46341220" w14:textId="77777777" w:rsidR="00505D12" w:rsidRPr="00FF43B7" w:rsidRDefault="00505D12" w:rsidP="00505D12">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1. Hỗ trợ do mất việc làm; hỗ trợ chuyển </w:t>
            </w:r>
            <w:r w:rsidRPr="00FF43B7">
              <w:rPr>
                <w:rFonts w:eastAsia="Times New Roman"/>
                <w:spacing w:val="-4"/>
                <w:sz w:val="20"/>
                <w:szCs w:val="20"/>
              </w:rPr>
              <w:lastRenderedPageBreak/>
              <w:t>đổi nghề nghiệp cho người lao động trực tiếp tại cơ sở chăn nuôi khi ngừng hoạt động chăn nuôi.</w:t>
            </w:r>
          </w:p>
          <w:p w14:paraId="56A837A1" w14:textId="77777777" w:rsidR="00505D12" w:rsidRPr="00FF43B7" w:rsidRDefault="00505D12" w:rsidP="00505D12">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a) Số lao động được hỗ trợ theo quy mô chăn nuôi như sau: Chăn nuôi nông hộ: 01 lao động thường xuyên/cơ sở; trang trại chăn nuôi quy mô nhỏ: không quá 02 lao động thường xuyên/cơ sở; trang trại chăn nuôi quy mô vừa: không quá 05 lao động thường xuyên/cơ sở; trang trại chăn nuôi quy mô lớn: không quá 10 lao động thường xuyên/cơ sở. Đồng thời được ưu tiên hỗ trợ tham gia đào tạo nghề và tuyển dụng lao động theo quy định trên địa bàn tỉnh. </w:t>
            </w:r>
          </w:p>
          <w:p w14:paraId="0E6B0BCF" w14:textId="77777777" w:rsidR="00505D12" w:rsidRPr="00FF43B7" w:rsidRDefault="00505D12" w:rsidP="00505D12">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b)  Mức hỗ trợ: 1.000.000 đồng/01 tháng/01 lao động thường xuyên. </w:t>
            </w:r>
          </w:p>
          <w:p w14:paraId="3BB0C264" w14:textId="77777777" w:rsidR="00505D12" w:rsidRPr="00FF43B7" w:rsidRDefault="00505D12" w:rsidP="00505D12">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c)  Thời gian hỗ trợ: 03 tháng.</w:t>
            </w:r>
          </w:p>
          <w:p w14:paraId="071E4708" w14:textId="77777777" w:rsidR="00505D12" w:rsidRPr="00FF43B7" w:rsidRDefault="00505D12" w:rsidP="00505D12">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d) Phương thức thực hiện hỗ trợ một lần sau khi cơ sở ngừng hoạt động chăn nuôi.</w:t>
            </w:r>
          </w:p>
          <w:p w14:paraId="2F97A312" w14:textId="77777777" w:rsidR="00505D12" w:rsidRPr="00FF43B7" w:rsidRDefault="00505D12" w:rsidP="00505D12">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2. Hỗ trợ di dời cơ sở chăn nuôi ra khỏi khu vực không được phép chăn nuôi, với mức hỗ trợ một lần là 100.000 đồng/m2 chuồng trại. Tổng kinh phí hỗ trợ tối đa không quá 50 triệu đồng/trang trại quy mô nhỏ; 100 triệu đồng/trang trại quy mô vừa; 150 triệu đồng/trang trại quy mô lớn. Phương thức hỗ trợ một lần chi phí sau khi cơ sở chăn nuôi hoàn thành di dời đến địa điểm phù hợp.</w:t>
            </w:r>
          </w:p>
          <w:p w14:paraId="6757C6F9" w14:textId="77777777" w:rsidR="00505D12" w:rsidRPr="00FF43B7" w:rsidRDefault="00505D12" w:rsidP="00505D12">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3. Hỗ trợ đầu tư xây dựng mới đối với cơ sở chăn nuôi</w:t>
            </w:r>
          </w:p>
          <w:p w14:paraId="1F799D0B" w14:textId="2D792BB4" w:rsidR="00505D12" w:rsidRPr="00FF43B7" w:rsidRDefault="00505D12" w:rsidP="00505D12">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Các cơ sở chăn nuôi di dời từ vùng không được phép chăn nuôi sang vùng được phép chăn nuôi khi đáp ứng đủ các điều kiện theo quy định được hưởng chính sách hỗ trợ, khuyến khích đầu tư </w:t>
            </w:r>
            <w:r w:rsidRPr="00FF43B7">
              <w:rPr>
                <w:rFonts w:eastAsia="Times New Roman"/>
                <w:spacing w:val="-4"/>
                <w:sz w:val="20"/>
                <w:szCs w:val="20"/>
              </w:rPr>
              <w:lastRenderedPageBreak/>
              <w:t>theo Nghị định số 57/2018/NĐ-CP ngày 17/4/2017 của Chính phủ về cơ chế, chính sách khuyến khích doanh nghiệp đầu tư vào nông nghiệp, nông thôn; Nghị quyết 05/2019/NQ-HĐND ngày 23/7/2019 của HĐND tỉnh về quy định chính sách khuyến khích doanh nghiệp đầu tư vào nông nghiệp, nông thôn trên địa bàn tỉnh Thái Nguyên và các chính sách hỗ trợ chăn nuôi được phê duyệt của tỉnh Thái Nguyên.</w:t>
            </w:r>
          </w:p>
        </w:tc>
        <w:tc>
          <w:tcPr>
            <w:tcW w:w="3544" w:type="dxa"/>
          </w:tcPr>
          <w:p w14:paraId="28826077" w14:textId="77777777" w:rsidR="006253C8" w:rsidRPr="00FF43B7" w:rsidRDefault="006253C8" w:rsidP="006253C8">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lastRenderedPageBreak/>
              <w:t>Điều 3. Quy định chính sách hỗ trợ khi di dời cơ sở chăn nuôi ra khỏi khu vực không được phép chăn nuôi</w:t>
            </w:r>
          </w:p>
          <w:p w14:paraId="2CBB8EC5" w14:textId="77777777" w:rsidR="006253C8" w:rsidRPr="00FF43B7" w:rsidRDefault="006253C8" w:rsidP="006253C8">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 xml:space="preserve">1. Hỗ trợ không quá 50% chi phí mua sắm thiết bị công trình và thiết bị công </w:t>
            </w:r>
            <w:r w:rsidRPr="00FF43B7">
              <w:rPr>
                <w:rFonts w:eastAsia="Times New Roman" w:cs="Times New Roman"/>
                <w:sz w:val="20"/>
                <w:szCs w:val="20"/>
              </w:rPr>
              <w:lastRenderedPageBreak/>
              <w:t>nghệ chăn nuôi theo diện tích chuồng trại hiện có của cơ sở chăn nuôi thuộc đối tượng phải di dời; mức hỗ trợ tối đa không quá 10 tỷ đồng/cơ sở.</w:t>
            </w:r>
          </w:p>
          <w:p w14:paraId="3260F7BB" w14:textId="77777777" w:rsidR="006253C8" w:rsidRPr="00FF43B7" w:rsidRDefault="006253C8" w:rsidP="006253C8">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2. Hỗ trợ không quá 50% chi phí di dời vật nuôi đến địa điểm mới phù hợp; mức hỗ trợ tối đa không quá 500 triệu đồng/cơ sở.</w:t>
            </w:r>
          </w:p>
          <w:p w14:paraId="178A77AE" w14:textId="4D0C8472" w:rsidR="00505D12" w:rsidRPr="00FF43B7" w:rsidRDefault="006253C8" w:rsidP="006253C8">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3. Hỗ trợ 100% chi phí đào tạo, tập huấn để chuyển đổi từ chăn nuôi sang các nghề khác; mức hỗ trợ tối đa không quá 03 tháng lương cơ bản/người.</w:t>
            </w:r>
          </w:p>
        </w:tc>
        <w:tc>
          <w:tcPr>
            <w:tcW w:w="2977" w:type="dxa"/>
          </w:tcPr>
          <w:p w14:paraId="361E0908" w14:textId="77777777" w:rsidR="00505D12" w:rsidRPr="00FF43B7" w:rsidRDefault="00505D12" w:rsidP="00BA58F1">
            <w:pPr>
              <w:shd w:val="clear" w:color="auto" w:fill="FFFFFF"/>
              <w:jc w:val="both"/>
              <w:rPr>
                <w:rFonts w:cs="Times New Roman"/>
                <w:sz w:val="20"/>
                <w:szCs w:val="20"/>
              </w:rPr>
            </w:pPr>
          </w:p>
        </w:tc>
        <w:tc>
          <w:tcPr>
            <w:tcW w:w="2835" w:type="dxa"/>
          </w:tcPr>
          <w:p w14:paraId="2837005B" w14:textId="77777777" w:rsidR="00505D12" w:rsidRPr="00FF43B7" w:rsidRDefault="006C1381" w:rsidP="00BA58F1">
            <w:pPr>
              <w:jc w:val="both"/>
              <w:rPr>
                <w:rFonts w:cs="Times New Roman"/>
                <w:sz w:val="20"/>
                <w:szCs w:val="20"/>
              </w:rPr>
            </w:pPr>
            <w:r w:rsidRPr="00FF43B7">
              <w:rPr>
                <w:rFonts w:cs="Times New Roman"/>
                <w:sz w:val="20"/>
                <w:szCs w:val="20"/>
              </w:rPr>
              <w:t xml:space="preserve">Thay thế chính sách hỗ trợ, cụ thể: </w:t>
            </w:r>
          </w:p>
          <w:p w14:paraId="1331F38E" w14:textId="77777777" w:rsidR="006C1381" w:rsidRPr="00FF43B7" w:rsidRDefault="006C1381" w:rsidP="006C1381">
            <w:pPr>
              <w:jc w:val="both"/>
              <w:rPr>
                <w:rFonts w:cs="Times New Roman"/>
                <w:sz w:val="20"/>
                <w:szCs w:val="20"/>
              </w:rPr>
            </w:pPr>
            <w:r w:rsidRPr="00FF43B7">
              <w:rPr>
                <w:rFonts w:cs="Times New Roman"/>
                <w:sz w:val="20"/>
                <w:szCs w:val="20"/>
              </w:rPr>
              <w:t xml:space="preserve">1. Hỗ trợ không quá 50% chi phí mua sắm thiết bị công trình và thiết bị công nghệ chăn nuôi </w:t>
            </w:r>
            <w:r w:rsidRPr="00FF43B7">
              <w:rPr>
                <w:rFonts w:cs="Times New Roman"/>
                <w:sz w:val="20"/>
                <w:szCs w:val="20"/>
              </w:rPr>
              <w:lastRenderedPageBreak/>
              <w:t>theo diện tích chuồng trại hiện có của cơ sở chăn nuôi thuộc đối tượng phải di dời; mức hỗ trợ tối đa không quá 10 tỷ đồng/cơ sở.</w:t>
            </w:r>
          </w:p>
          <w:p w14:paraId="7E595158" w14:textId="77777777" w:rsidR="006C1381" w:rsidRPr="00FF43B7" w:rsidRDefault="006C1381" w:rsidP="006C1381">
            <w:pPr>
              <w:jc w:val="both"/>
              <w:rPr>
                <w:rFonts w:cs="Times New Roman"/>
                <w:sz w:val="20"/>
                <w:szCs w:val="20"/>
              </w:rPr>
            </w:pPr>
            <w:r w:rsidRPr="00FF43B7">
              <w:rPr>
                <w:rFonts w:cs="Times New Roman"/>
                <w:sz w:val="20"/>
                <w:szCs w:val="20"/>
              </w:rPr>
              <w:t>2. Hỗ trợ không quá 50% chi phí di dời vật nuôi đến địa điểm mới phù hợp; mức hỗ trợ tối đa không quá 500 triệu đồng/cơ sở.</w:t>
            </w:r>
          </w:p>
          <w:p w14:paraId="394D41F0" w14:textId="4392971A" w:rsidR="006C1381" w:rsidRPr="00FF43B7" w:rsidRDefault="006C1381" w:rsidP="006C1381">
            <w:pPr>
              <w:jc w:val="both"/>
              <w:rPr>
                <w:rFonts w:cs="Times New Roman"/>
                <w:sz w:val="20"/>
                <w:szCs w:val="20"/>
              </w:rPr>
            </w:pPr>
            <w:r w:rsidRPr="00FF43B7">
              <w:rPr>
                <w:rFonts w:cs="Times New Roman"/>
                <w:sz w:val="20"/>
                <w:szCs w:val="20"/>
              </w:rPr>
              <w:t>3. Hỗ trợ 100% chi phí đào tạo, tập huấn để chuyển đổi từ chăn nuôi sang các nghề khác; mức hỗ trợ tối đa không quá 03 tháng lương cơ bản/người.</w:t>
            </w:r>
          </w:p>
        </w:tc>
        <w:tc>
          <w:tcPr>
            <w:tcW w:w="2801" w:type="dxa"/>
          </w:tcPr>
          <w:p w14:paraId="63E75958" w14:textId="3AE1D508" w:rsidR="00505D12" w:rsidRPr="00FF43B7" w:rsidRDefault="008911C2" w:rsidP="00BA58F1">
            <w:pPr>
              <w:jc w:val="both"/>
              <w:rPr>
                <w:rFonts w:cs="Times New Roman"/>
                <w:sz w:val="20"/>
                <w:szCs w:val="20"/>
              </w:rPr>
            </w:pPr>
            <w:r w:rsidRPr="00FF43B7">
              <w:rPr>
                <w:rFonts w:cs="Times New Roman"/>
                <w:sz w:val="20"/>
                <w:szCs w:val="20"/>
              </w:rPr>
              <w:lastRenderedPageBreak/>
              <w:t xml:space="preserve">Cơ sở xây dựng chính sách hỗ trợ khi di dời cơ sở </w:t>
            </w:r>
            <w:r w:rsidR="00495FE3" w:rsidRPr="00FF43B7">
              <w:rPr>
                <w:rFonts w:cs="Times New Roman"/>
                <w:sz w:val="20"/>
                <w:szCs w:val="20"/>
              </w:rPr>
              <w:t>c</w:t>
            </w:r>
            <w:r w:rsidRPr="00FF43B7">
              <w:rPr>
                <w:rFonts w:cs="Times New Roman"/>
                <w:sz w:val="20"/>
                <w:szCs w:val="20"/>
              </w:rPr>
              <w:t xml:space="preserve">hăn nuôi ra khỏi khu vực không được phép chăn nuôi: </w:t>
            </w:r>
            <w:r w:rsidR="006C1381" w:rsidRPr="00FF43B7">
              <w:rPr>
                <w:rFonts w:cs="Times New Roman"/>
                <w:sz w:val="20"/>
                <w:szCs w:val="20"/>
              </w:rPr>
              <w:t>Căn cứ theo quy đị</w:t>
            </w:r>
            <w:r w:rsidR="00495FE3" w:rsidRPr="00FF43B7">
              <w:rPr>
                <w:rFonts w:cs="Times New Roman"/>
                <w:sz w:val="20"/>
                <w:szCs w:val="20"/>
              </w:rPr>
              <w:t>nh tạ</w:t>
            </w:r>
            <w:r w:rsidR="006C1381" w:rsidRPr="00FF43B7">
              <w:rPr>
                <w:rFonts w:cs="Times New Roman"/>
                <w:sz w:val="20"/>
                <w:szCs w:val="20"/>
              </w:rPr>
              <w:t xml:space="preserve">i khoản 2, Điều 7 Nghị </w:t>
            </w:r>
            <w:r w:rsidR="006C1381" w:rsidRPr="00FF43B7">
              <w:rPr>
                <w:rFonts w:cs="Times New Roman"/>
                <w:sz w:val="20"/>
                <w:szCs w:val="20"/>
              </w:rPr>
              <w:lastRenderedPageBreak/>
              <w:t>định số 106/2024/NĐ-CP ngày 01/8/2024 của Chính phủ quy định chính sách hỗ trợ nâng cao hiệu quả chăn nuôi</w:t>
            </w:r>
          </w:p>
        </w:tc>
      </w:tr>
      <w:tr w:rsidR="00FF43B7" w:rsidRPr="00FF43B7" w14:paraId="7FACB129" w14:textId="77777777" w:rsidTr="00BA58F1">
        <w:tc>
          <w:tcPr>
            <w:tcW w:w="562" w:type="dxa"/>
          </w:tcPr>
          <w:p w14:paraId="5E794BD5" w14:textId="77777777" w:rsidR="006C1381" w:rsidRPr="00FF43B7" w:rsidRDefault="006C1381" w:rsidP="00BA58F1">
            <w:pPr>
              <w:rPr>
                <w:rFonts w:cs="Times New Roman"/>
                <w:sz w:val="20"/>
                <w:szCs w:val="20"/>
              </w:rPr>
            </w:pPr>
          </w:p>
        </w:tc>
        <w:tc>
          <w:tcPr>
            <w:tcW w:w="3407" w:type="dxa"/>
          </w:tcPr>
          <w:p w14:paraId="57BE1247"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Điều 4. Nguyên tắc, điều kiện, đối tượng được hưởng chính sách hỗ trợ và kinh phí hỗ trợ</w:t>
            </w:r>
          </w:p>
          <w:p w14:paraId="31D010B3"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1. Nguyên tắc, điều kiện, đối tượng được hưởng chính sách hỗ trợ</w:t>
            </w:r>
          </w:p>
          <w:p w14:paraId="161D73E1"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a) Cơ sở chăn nuôi thuộc diện phải ngừng hoạt động chăn nuôi hoặc phải di dời ra khỏi khu vực không được phép chăn nuôi mà không thực hiện theo quy định sẽ không được hưởng hỗ trợ theo chính sách này và bị xử lý cưỡng chế ngừng hoạt động chăn nuôi hoặc di dời cơ sở chăn nuôi theo quy định của pháp luật.</w:t>
            </w:r>
          </w:p>
          <w:p w14:paraId="02F331D8"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b) Quy mô chăn nuôi để được hỗ trợ di dời cơ sở chăn nuôi ra khỏi khu vực không được phép chăn nuôi hoặc hỗ trợ do mất việc làm, chuyển đổi nghề nghiệp cho người lao động trực tiếp tại cơ sở chăn nuôi khi ngừng hoạt động chăn nuôi: Chăn nuôi trang trại nhỏ (từ 10 đến dưới 30 đơn vị vật nuôi), chăn nuôi trang trại vừa (từ 30 đến dưới 300 đơn vị vật nuôi), chăn nuôi trang trại lớn (từ 300 đơn vị vật nuôi trở lên), chăn nuôi nông </w:t>
            </w:r>
            <w:r w:rsidRPr="00FF43B7">
              <w:rPr>
                <w:rFonts w:eastAsia="Times New Roman"/>
                <w:spacing w:val="-4"/>
                <w:sz w:val="20"/>
                <w:szCs w:val="20"/>
              </w:rPr>
              <w:lastRenderedPageBreak/>
              <w:t xml:space="preserve">hộ (từ 1 - dưới 10 đơn vị vật nuôi). </w:t>
            </w:r>
          </w:p>
          <w:p w14:paraId="46CBDA4D"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c)  Cơ sở chăn nuôi thuộc đối tượng điều chỉnh của Nghị quyết này được thụ hưởng chính sách hỗ trợ một lần, nếu có nhiều chính sách hỗ trợ thì được lựa chọn chính sách hỗ trợ cao nhất. Trong trường hợp cơ sở chăn nuôi đã được hưởng chính sách hỗ trợ tại Khoản 1, Điều 3 sẽ không được hưởng chính sách hỗ trợ tại Khoản 2, Điều 3 của Nghị quyết này.</w:t>
            </w:r>
          </w:p>
          <w:p w14:paraId="1582839C"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d) Cơ sở chăn nuôi phát sinh sau ngày Quyết định công bố khu vực không được phép chăn nuôi có hiệu lực thi hành thì không được hưởng chính sách hỗ trợ tại Nghị quyết này, đồng thời phải bị xử lý theo các quy định của pháp luật. </w:t>
            </w:r>
          </w:p>
          <w:p w14:paraId="4AFFB4AA"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đ) Người lao động được thụ hưởng chính sách tại Nghị quyết này phải có hợp đồng lao động với chủ cơ sở hoặc có tên trong danh sách trả lương và trong sổ thanh toán lương của cơ sở, có xác nhận của Chủ tịch Ủy ban nhân dân xã, phường, thị trấn. Đối với người lao động vừa làm trực tiếp vừa là chủ cơ sở (chăn nuôi nông hộ) phải có xác nhận của Chủ tịch Ủy ban nhân dân xã, phường, thị trấn.</w:t>
            </w:r>
          </w:p>
          <w:p w14:paraId="4EC2B20D"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e) Chủ cơ sở di dời phải hoàn chỉnh hồ sơ và có xác nhận của Chủ tịch UBND xã, phường, thị trấn nơi cơ sở chăn nuôi phải di dời. Việc xác nhận chi phí hỗ trợ phải do các phòng, ban chuyên môn cấp huyện thẩm định và được Chủ tịch Ủy ban nhân dân cấp huyện phê duyệt.</w:t>
            </w:r>
          </w:p>
          <w:p w14:paraId="1E3583D4"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 xml:space="preserve">f) Chủ cơ sở chăn nuôi phải thực hiện kê khai chăn nuôi; có kế hoạch, phương án, dự án ngừng hoạt động chăn nuôi hoặc di dời cơ sở chăn nuôi; thực hiện đăng ký và </w:t>
            </w:r>
            <w:r w:rsidRPr="00FF43B7">
              <w:rPr>
                <w:rFonts w:eastAsia="Times New Roman"/>
                <w:spacing w:val="-4"/>
                <w:sz w:val="20"/>
                <w:szCs w:val="20"/>
              </w:rPr>
              <w:lastRenderedPageBreak/>
              <w:t>được cơ quan nhà nước có thẩm quyền quyết định phê duyệt.</w:t>
            </w:r>
          </w:p>
          <w:p w14:paraId="060F0D19"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2. Kinh phí hỗ trợ</w:t>
            </w:r>
          </w:p>
          <w:p w14:paraId="06F9B7FF" w14:textId="77777777" w:rsidR="006C1381" w:rsidRPr="00FF43B7" w:rsidRDefault="006C1381"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Kinh phí hỗ trợ quy định tại Điều 3 của Nghị quyết này được cân đối trong dự toán ngân sách của tỉnh giao cho các huyện, thành phố, thị xã hằng năm.</w:t>
            </w:r>
          </w:p>
          <w:p w14:paraId="6E5F0590" w14:textId="0A762A96" w:rsidR="002748B7" w:rsidRPr="00FF43B7" w:rsidRDefault="002748B7"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p>
        </w:tc>
        <w:tc>
          <w:tcPr>
            <w:tcW w:w="3544" w:type="dxa"/>
          </w:tcPr>
          <w:p w14:paraId="6D4E10C3"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lastRenderedPageBreak/>
              <w:t>Điều 4. Nguyên tắc, điều kiện, đối tượng được hưởng chính sách hỗ trợ và kinh phí hỗ trợ</w:t>
            </w:r>
          </w:p>
          <w:p w14:paraId="66E5F46F"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1. Đối tượng được hỗ trợ</w:t>
            </w:r>
          </w:p>
          <w:p w14:paraId="1EDF403C"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 xml:space="preserve"> Tổ chức, cá nhân có cơ sở chăn nuôi được xây dựng và hoạt động trước ngày Nghị quyết này có hiệu lực thi hành và đang hoạt động tại khu vực không được phép chăn nuôi quy định tại Điều 2 Nghị quyết này được hỗ trợ di dời đến địa điểm mới phù hợp hoặc chấm dứt hoạt động chăn nuôi và chuyển đổi ngành nghề.</w:t>
            </w:r>
          </w:p>
          <w:p w14:paraId="75B00593"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2. Điều kiện được hỗ trợ</w:t>
            </w:r>
          </w:p>
          <w:p w14:paraId="7CD2D90D"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a) Cơ sở chăn nuôi được xây dựng và hoạt động trước ngày Nghị quyết này có hiệu lực thi hành và đang hoạt động trong khu vực không được phép chăn nuôi thuộc diện phải di dời theo quy định tại Điều 2 Nghị quyết này.</w:t>
            </w:r>
          </w:p>
          <w:p w14:paraId="3FDDC348"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 xml:space="preserve">b) Người được đào tạo, tập huấn để chuyển đổi từ chăn nuôi sang các nghề khác phải có chứng chỉ hoàn thành khóa đào tạo do cơ sở đào tạo cấp và cam kết thực hiện nghề đã được đào tạo chuyển </w:t>
            </w:r>
            <w:r w:rsidRPr="008833A1">
              <w:rPr>
                <w:rFonts w:eastAsia="Times New Roman" w:cs="Times New Roman"/>
                <w:sz w:val="20"/>
                <w:szCs w:val="20"/>
              </w:rPr>
              <w:lastRenderedPageBreak/>
              <w:t>đổi ít nhất 05 năm sau khi được nhận hỗ trợ.</w:t>
            </w:r>
          </w:p>
          <w:p w14:paraId="399968DD"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c) Việc hỗ trợ đối với nội dung quy định tại khoản 1, khoản 2, khoản 3 Điều 3 được thực hiện sau khi cơ sở chăn nuôi đã hoàn thành việc di dời ra khỏi khu vực không được phép chăn nuôi hoặc chấm dứt hoạt động chăn nuôi, chuyển đổi ngành nghề có xác nhận của Ủy ban nhân dân cấp xã, phường.</w:t>
            </w:r>
          </w:p>
          <w:p w14:paraId="4D58B99B"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3. Nguyên tắc hỗ trợ</w:t>
            </w:r>
            <w:r w:rsidRPr="008833A1">
              <w:rPr>
                <w:rFonts w:eastAsia="Times New Roman" w:cs="Times New Roman"/>
                <w:sz w:val="20"/>
                <w:szCs w:val="20"/>
              </w:rPr>
              <w:tab/>
            </w:r>
          </w:p>
          <w:p w14:paraId="5FD5488C"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a) Đảm bảo công khai, minh bạch, đúng đối tượng, đúng mục đích và phù hợp với điều kiện thực tế của địa phương.</w:t>
            </w:r>
          </w:p>
          <w:p w14:paraId="144D0984"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b) Cơ sở chăn nuôi thuộc đối tượng hỗ trợ của Nghị quyết này được thụ hưởng chính sách hỗ trợ một lần. Trường hợp cùng thời điểm và cùng một nội dung hỗ trợ, đối tượng thụ hưởng chính sách chỉ được lựa chọn một mức hỗ trợ cao nhất.</w:t>
            </w:r>
          </w:p>
          <w:p w14:paraId="6A72BA95"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c) Tổ chức, cá nhân có cơ sở chăn nuôi được xây dựng và hoạt động trước ngày Nghị quyết này có hiệu lực thi hành và đang hoạt động tại khu vực không được phép chăn nuôi quy định tại Điều 2 Nghị quyết này phải chấm dứt hoạt động chăn nuôi hoặc di dời đến địa điểm phù hợp trong thời hạn 36 tháng kể từ ngày Nghị quyết này có hiệu lực thi hành. Sau thời hạn 36 tháng kể từ ngày Nghị quyết này có hiệu lực thi hành các cơ sở chưa hoàn thành việc di dời hoặc chưa chấm dứt hoạt động chăn nuôi thì phải xử lý theo quy định của pháp luật hiện hành.</w:t>
            </w:r>
          </w:p>
          <w:p w14:paraId="4E6CD7B8"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4. Kinh phí hỗ trợ</w:t>
            </w:r>
          </w:p>
          <w:p w14:paraId="409C95C5"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ab/>
              <w:t xml:space="preserve">a) Kinh phí hỗ trợ quy định tại khoản 1 Điều 3 Nghị quyết này sử dụng </w:t>
            </w:r>
            <w:r w:rsidRPr="008833A1">
              <w:rPr>
                <w:rFonts w:eastAsia="Times New Roman" w:cs="Times New Roman"/>
                <w:sz w:val="20"/>
                <w:szCs w:val="20"/>
              </w:rPr>
              <w:lastRenderedPageBreak/>
              <w:t>từ nguồn vốn đầu tư công.</w:t>
            </w:r>
          </w:p>
          <w:p w14:paraId="522A7DEF" w14:textId="77777777" w:rsidR="008833A1" w:rsidRPr="008833A1"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b) Kinh phí hỗ trợ quy định tại khoản 2, khoản 3 Điều 3 Nghị quyết này sử dụng từ nguồn kinh phí thường xuyên theo phân cấp ngân sách hiện hành.</w:t>
            </w:r>
          </w:p>
          <w:p w14:paraId="4E6567B0" w14:textId="432E0BB9" w:rsidR="006C1381" w:rsidRPr="00FF43B7" w:rsidRDefault="008833A1" w:rsidP="008833A1">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8833A1">
              <w:rPr>
                <w:rFonts w:eastAsia="Times New Roman" w:cs="Times New Roman"/>
                <w:sz w:val="20"/>
                <w:szCs w:val="20"/>
              </w:rPr>
              <w:t>c) Việc lập dự toán, chấp hành dự toán và thanh quyết toán kinh phí thực hiện các chính sách tại Nghị quyết này thực hiện theo quy định tại Luật Ngân sách nhà nước, Luật Đầu tư công và các văn bản hướng dẫn Luật.</w:t>
            </w:r>
          </w:p>
        </w:tc>
        <w:tc>
          <w:tcPr>
            <w:tcW w:w="2977" w:type="dxa"/>
          </w:tcPr>
          <w:p w14:paraId="2347A6E0" w14:textId="30A429D1" w:rsidR="006C1381" w:rsidRPr="00FF43B7" w:rsidRDefault="008911C2" w:rsidP="00BA58F1">
            <w:pPr>
              <w:shd w:val="clear" w:color="auto" w:fill="FFFFFF"/>
              <w:jc w:val="both"/>
              <w:rPr>
                <w:rFonts w:cs="Times New Roman"/>
                <w:sz w:val="20"/>
                <w:szCs w:val="20"/>
              </w:rPr>
            </w:pPr>
            <w:r w:rsidRPr="00FF43B7">
              <w:rPr>
                <w:rFonts w:cs="Times New Roman"/>
                <w:sz w:val="20"/>
                <w:szCs w:val="20"/>
              </w:rPr>
              <w:lastRenderedPageBreak/>
              <w:t>Kế thừa một phần</w:t>
            </w:r>
          </w:p>
        </w:tc>
        <w:tc>
          <w:tcPr>
            <w:tcW w:w="2835" w:type="dxa"/>
          </w:tcPr>
          <w:p w14:paraId="484E6BEB" w14:textId="77777777" w:rsidR="006C1381" w:rsidRDefault="008911C2" w:rsidP="008911C2">
            <w:pPr>
              <w:jc w:val="both"/>
              <w:rPr>
                <w:rFonts w:cs="Times New Roman"/>
                <w:sz w:val="20"/>
                <w:szCs w:val="20"/>
              </w:rPr>
            </w:pPr>
            <w:r w:rsidRPr="00FF43B7">
              <w:rPr>
                <w:rFonts w:cs="Times New Roman"/>
                <w:sz w:val="20"/>
                <w:szCs w:val="20"/>
              </w:rPr>
              <w:t>- Bãi bỏ nội dung quy định quy mô chăn nuôi được hỗ trợ</w:t>
            </w:r>
          </w:p>
          <w:p w14:paraId="727FFBED" w14:textId="77777777" w:rsidR="002F6276" w:rsidRDefault="002F6276" w:rsidP="008911C2">
            <w:pPr>
              <w:jc w:val="both"/>
              <w:rPr>
                <w:rFonts w:cs="Times New Roman"/>
                <w:sz w:val="20"/>
                <w:szCs w:val="20"/>
              </w:rPr>
            </w:pPr>
            <w:r>
              <w:rPr>
                <w:rFonts w:cs="Times New Roman"/>
                <w:sz w:val="20"/>
                <w:szCs w:val="20"/>
              </w:rPr>
              <w:t>- Bổ sung nội dung quy định cụ thể về đối tượng hỗ trợ, điều kiện hỗ trợ theo quy định tại khoản 3, Điều 7 Nghị định số 106/2024/NĐ-CP ngày 01/8/2024 của chính phủ, cụ thể:</w:t>
            </w:r>
          </w:p>
          <w:p w14:paraId="4F95BC8D" w14:textId="77777777" w:rsidR="008833A1" w:rsidRPr="008833A1" w:rsidRDefault="008833A1" w:rsidP="008833A1">
            <w:pPr>
              <w:jc w:val="both"/>
              <w:rPr>
                <w:rFonts w:cs="Times New Roman"/>
                <w:sz w:val="20"/>
                <w:szCs w:val="20"/>
              </w:rPr>
            </w:pPr>
            <w:r w:rsidRPr="008833A1">
              <w:rPr>
                <w:rFonts w:cs="Times New Roman"/>
                <w:sz w:val="20"/>
                <w:szCs w:val="20"/>
              </w:rPr>
              <w:t>1. Đối tượng được hỗ trợ</w:t>
            </w:r>
          </w:p>
          <w:p w14:paraId="3E6F5DC4" w14:textId="77777777" w:rsidR="008833A1" w:rsidRPr="008833A1" w:rsidRDefault="008833A1" w:rsidP="008833A1">
            <w:pPr>
              <w:jc w:val="both"/>
              <w:rPr>
                <w:rFonts w:cs="Times New Roman"/>
                <w:sz w:val="20"/>
                <w:szCs w:val="20"/>
              </w:rPr>
            </w:pPr>
            <w:r w:rsidRPr="008833A1">
              <w:rPr>
                <w:rFonts w:cs="Times New Roman"/>
                <w:sz w:val="20"/>
                <w:szCs w:val="20"/>
              </w:rPr>
              <w:t xml:space="preserve"> Tổ chức, cá nhân có cơ sở chăn nuôi được xây dựng và hoạt động trước ngày Nghị quyết này có hiệu lực thi hành và đang hoạt động tại khu vực không được phép chăn nuôi quy định tại Điều 2 Nghị quyết này được hỗ trợ di dời đến địa điểm mới phù hợp hoặc chấm dứt hoạt động chăn nuôi và chuyển đổi ngành nghề.</w:t>
            </w:r>
          </w:p>
          <w:p w14:paraId="516CFB4C" w14:textId="77777777" w:rsidR="008833A1" w:rsidRPr="008833A1" w:rsidRDefault="008833A1" w:rsidP="008833A1">
            <w:pPr>
              <w:jc w:val="both"/>
              <w:rPr>
                <w:rFonts w:cs="Times New Roman"/>
                <w:sz w:val="20"/>
                <w:szCs w:val="20"/>
              </w:rPr>
            </w:pPr>
            <w:r w:rsidRPr="008833A1">
              <w:rPr>
                <w:rFonts w:cs="Times New Roman"/>
                <w:sz w:val="20"/>
                <w:szCs w:val="20"/>
              </w:rPr>
              <w:t>2. Điều kiện được hỗ trợ</w:t>
            </w:r>
          </w:p>
          <w:p w14:paraId="5CF17D4E" w14:textId="77777777" w:rsidR="008833A1" w:rsidRPr="008833A1" w:rsidRDefault="008833A1" w:rsidP="008833A1">
            <w:pPr>
              <w:jc w:val="both"/>
              <w:rPr>
                <w:rFonts w:cs="Times New Roman"/>
                <w:sz w:val="20"/>
                <w:szCs w:val="20"/>
              </w:rPr>
            </w:pPr>
            <w:r w:rsidRPr="008833A1">
              <w:rPr>
                <w:rFonts w:cs="Times New Roman"/>
                <w:sz w:val="20"/>
                <w:szCs w:val="20"/>
              </w:rPr>
              <w:t xml:space="preserve">a) Cơ sở chăn nuôi được xây dựng và hoạt động trước ngày Nghị quyết này có hiệu lực thi hành và đang hoạt động trong </w:t>
            </w:r>
            <w:r w:rsidRPr="008833A1">
              <w:rPr>
                <w:rFonts w:cs="Times New Roman"/>
                <w:sz w:val="20"/>
                <w:szCs w:val="20"/>
              </w:rPr>
              <w:lastRenderedPageBreak/>
              <w:t>khu vực không được phép chăn nuôi thuộc diện phải di dời theo quy định tại Điều 2 Nghị quyết này.</w:t>
            </w:r>
          </w:p>
          <w:p w14:paraId="37610C5A" w14:textId="77777777" w:rsidR="008833A1" w:rsidRPr="008833A1" w:rsidRDefault="008833A1" w:rsidP="008833A1">
            <w:pPr>
              <w:jc w:val="both"/>
              <w:rPr>
                <w:rFonts w:cs="Times New Roman"/>
                <w:sz w:val="20"/>
                <w:szCs w:val="20"/>
              </w:rPr>
            </w:pPr>
            <w:r w:rsidRPr="008833A1">
              <w:rPr>
                <w:rFonts w:cs="Times New Roman"/>
                <w:sz w:val="20"/>
                <w:szCs w:val="20"/>
              </w:rPr>
              <w:t>b) 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p>
          <w:p w14:paraId="074D679D" w14:textId="77777777" w:rsidR="008833A1" w:rsidRDefault="008833A1" w:rsidP="008833A1">
            <w:pPr>
              <w:jc w:val="both"/>
              <w:rPr>
                <w:rFonts w:cs="Times New Roman"/>
                <w:sz w:val="20"/>
                <w:szCs w:val="20"/>
              </w:rPr>
            </w:pPr>
            <w:r w:rsidRPr="008833A1">
              <w:rPr>
                <w:rFonts w:cs="Times New Roman"/>
                <w:sz w:val="20"/>
                <w:szCs w:val="20"/>
              </w:rPr>
              <w:t>c) Việc hỗ trợ đối với nội dung quy định tại khoản 1, khoản 2, khoản 3 Điều 3 được thực hiện sau khi cơ sở chăn nuôi đã hoàn thành việc di dời ra khỏi khu vực không được phép chăn nuôi hoặc chấm dứt hoạt động chăn nuôi, chuyển đổi ngành nghề có xác nhận của Ủy ban nhân dân cấp xã, phường.</w:t>
            </w:r>
          </w:p>
          <w:p w14:paraId="4A4281E0" w14:textId="77777777" w:rsidR="002F6276" w:rsidRDefault="002F6276" w:rsidP="008833A1">
            <w:pPr>
              <w:jc w:val="both"/>
              <w:rPr>
                <w:rFonts w:cs="Times New Roman"/>
                <w:sz w:val="20"/>
                <w:szCs w:val="20"/>
              </w:rPr>
            </w:pPr>
            <w:r>
              <w:rPr>
                <w:rFonts w:cs="Times New Roman"/>
                <w:sz w:val="20"/>
                <w:szCs w:val="20"/>
              </w:rPr>
              <w:t>- Rà soát điều chỉnh Nguyên tắc hỗ trợ cho phù hợp với dự thảo Nghị quyết và tình hình thực tế của tỉnh.</w:t>
            </w:r>
          </w:p>
          <w:p w14:paraId="0B6B82A1" w14:textId="77777777" w:rsidR="008833A1" w:rsidRDefault="008833A1" w:rsidP="008833A1">
            <w:pPr>
              <w:jc w:val="both"/>
              <w:rPr>
                <w:rFonts w:cs="Times New Roman"/>
                <w:sz w:val="20"/>
                <w:szCs w:val="20"/>
              </w:rPr>
            </w:pPr>
            <w:r>
              <w:rPr>
                <w:rFonts w:cs="Times New Roman"/>
                <w:sz w:val="20"/>
                <w:szCs w:val="20"/>
              </w:rPr>
              <w:t xml:space="preserve">- Rà soát, điều chỉnh nguồn kinh phí thực hiện nguồn kinh phí thực hiện, cụ thể: </w:t>
            </w:r>
          </w:p>
          <w:p w14:paraId="1B752C1E" w14:textId="77777777" w:rsidR="008833A1" w:rsidRPr="008833A1" w:rsidRDefault="008833A1" w:rsidP="008833A1">
            <w:pPr>
              <w:jc w:val="both"/>
              <w:rPr>
                <w:rFonts w:cs="Times New Roman"/>
                <w:sz w:val="20"/>
                <w:szCs w:val="20"/>
              </w:rPr>
            </w:pPr>
            <w:r w:rsidRPr="008833A1">
              <w:rPr>
                <w:rFonts w:cs="Times New Roman"/>
                <w:sz w:val="20"/>
                <w:szCs w:val="20"/>
              </w:rPr>
              <w:t>a) Kinh phí hỗ trợ quy định tại khoản 1 Điều 3 Nghị quyết này sử dụng từ nguồn vốn đầu tư công.</w:t>
            </w:r>
          </w:p>
          <w:p w14:paraId="792A38DC" w14:textId="77777777" w:rsidR="008833A1" w:rsidRPr="008833A1" w:rsidRDefault="008833A1" w:rsidP="008833A1">
            <w:pPr>
              <w:jc w:val="both"/>
              <w:rPr>
                <w:rFonts w:cs="Times New Roman"/>
                <w:sz w:val="20"/>
                <w:szCs w:val="20"/>
              </w:rPr>
            </w:pPr>
            <w:r w:rsidRPr="008833A1">
              <w:rPr>
                <w:rFonts w:cs="Times New Roman"/>
                <w:sz w:val="20"/>
                <w:szCs w:val="20"/>
              </w:rPr>
              <w:t xml:space="preserve">b) Kinh phí hỗ trợ quy định tại khoản 2, khoản 3 Điều 3 Nghị quyết này sử dụng từ nguồn kinh phí thường xuyên theo </w:t>
            </w:r>
            <w:r w:rsidRPr="008833A1">
              <w:rPr>
                <w:rFonts w:cs="Times New Roman"/>
                <w:sz w:val="20"/>
                <w:szCs w:val="20"/>
              </w:rPr>
              <w:lastRenderedPageBreak/>
              <w:t>phân cấp ngân sách hiện hành.</w:t>
            </w:r>
          </w:p>
          <w:p w14:paraId="401910B0" w14:textId="63D45870" w:rsidR="008833A1" w:rsidRDefault="008833A1" w:rsidP="008833A1">
            <w:pPr>
              <w:jc w:val="both"/>
              <w:rPr>
                <w:rFonts w:cs="Times New Roman"/>
                <w:sz w:val="20"/>
                <w:szCs w:val="20"/>
              </w:rPr>
            </w:pPr>
            <w:r w:rsidRPr="008833A1">
              <w:rPr>
                <w:rFonts w:cs="Times New Roman"/>
                <w:sz w:val="20"/>
                <w:szCs w:val="20"/>
              </w:rPr>
              <w:t>c) Việc lập dự toán, chấp hành dự toán và thanh quyết toán kinh phí thực hiện các chính sách tại Nghị quyết này thực hiện theo quy định tại Luật Ngân sách nhà nước, Luật Đầu tư công và các văn bản hướng dẫn Luật.</w:t>
            </w:r>
          </w:p>
          <w:p w14:paraId="0ED9B459" w14:textId="244B955A" w:rsidR="008833A1" w:rsidRPr="00FF43B7" w:rsidRDefault="008833A1" w:rsidP="008833A1">
            <w:pPr>
              <w:jc w:val="both"/>
              <w:rPr>
                <w:rFonts w:cs="Times New Roman"/>
                <w:sz w:val="20"/>
                <w:szCs w:val="20"/>
              </w:rPr>
            </w:pPr>
          </w:p>
        </w:tc>
        <w:tc>
          <w:tcPr>
            <w:tcW w:w="2801" w:type="dxa"/>
          </w:tcPr>
          <w:p w14:paraId="107FF23B" w14:textId="06C447CD" w:rsidR="006C1381" w:rsidRDefault="008833A1" w:rsidP="00760FC8">
            <w:pPr>
              <w:jc w:val="both"/>
              <w:rPr>
                <w:rFonts w:cs="Times New Roman"/>
                <w:sz w:val="20"/>
                <w:szCs w:val="20"/>
              </w:rPr>
            </w:pPr>
            <w:r>
              <w:rPr>
                <w:rFonts w:cs="Times New Roman"/>
                <w:sz w:val="20"/>
                <w:szCs w:val="20"/>
              </w:rPr>
              <w:lastRenderedPageBreak/>
              <w:t xml:space="preserve">- </w:t>
            </w:r>
            <w:r w:rsidR="008911C2" w:rsidRPr="00FF43B7">
              <w:rPr>
                <w:rFonts w:cs="Times New Roman"/>
                <w:sz w:val="20"/>
                <w:szCs w:val="20"/>
              </w:rPr>
              <w:t>Cơ sở xây dựng nguyên tắc, điều kiện, đối tượng được hưởng chính sách hỗ trợ: Căn cứ theo quy định t</w:t>
            </w:r>
            <w:r w:rsidR="00495FE3" w:rsidRPr="00FF43B7">
              <w:rPr>
                <w:rFonts w:cs="Times New Roman"/>
                <w:sz w:val="20"/>
                <w:szCs w:val="20"/>
              </w:rPr>
              <w:t>ạ</w:t>
            </w:r>
            <w:r w:rsidR="008911C2" w:rsidRPr="00FF43B7">
              <w:rPr>
                <w:rFonts w:cs="Times New Roman"/>
                <w:sz w:val="20"/>
                <w:szCs w:val="20"/>
              </w:rPr>
              <w:t>i Điều 7 Nghị định số 106/2024/NĐ-CP ngày 01/8/2024 của Chính phủ quy định chính sách hỗ trợ nâng cao hiệu quả chăn nuôi</w:t>
            </w:r>
          </w:p>
          <w:p w14:paraId="50E86D0F" w14:textId="7DEE5AF8" w:rsidR="008833A1" w:rsidRPr="00FF43B7" w:rsidRDefault="008833A1" w:rsidP="00760FC8">
            <w:pPr>
              <w:jc w:val="both"/>
              <w:rPr>
                <w:rFonts w:cs="Times New Roman"/>
                <w:sz w:val="20"/>
                <w:szCs w:val="20"/>
              </w:rPr>
            </w:pPr>
            <w:r>
              <w:rPr>
                <w:rFonts w:cs="Times New Roman"/>
                <w:sz w:val="20"/>
                <w:szCs w:val="20"/>
              </w:rPr>
              <w:t xml:space="preserve">- Cơ sở xây dựng kinh phí thực hiện theo quy định tại Chương V </w:t>
            </w:r>
            <w:r w:rsidRPr="008833A1">
              <w:rPr>
                <w:rFonts w:cs="Times New Roman"/>
                <w:sz w:val="20"/>
                <w:szCs w:val="20"/>
              </w:rPr>
              <w:t>Nghị định số 106/2024/NĐ-CP ngày 01/8/2024 của Chính phủ quy định chính sách hỗ trợ nâng cao hiệu quả chăn nuôi</w:t>
            </w:r>
            <w:r>
              <w:rPr>
                <w:rFonts w:cs="Times New Roman"/>
                <w:sz w:val="20"/>
                <w:szCs w:val="20"/>
              </w:rPr>
              <w:t>.</w:t>
            </w:r>
          </w:p>
        </w:tc>
      </w:tr>
      <w:tr w:rsidR="00FF43B7" w:rsidRPr="00FF43B7" w14:paraId="79F0C764" w14:textId="77777777" w:rsidTr="00BA58F1">
        <w:tc>
          <w:tcPr>
            <w:tcW w:w="562" w:type="dxa"/>
          </w:tcPr>
          <w:p w14:paraId="507D37C0" w14:textId="77777777" w:rsidR="002748B7" w:rsidRPr="00FF43B7" w:rsidRDefault="002748B7" w:rsidP="00BA58F1">
            <w:pPr>
              <w:rPr>
                <w:rFonts w:cs="Times New Roman"/>
                <w:sz w:val="20"/>
                <w:szCs w:val="20"/>
              </w:rPr>
            </w:pPr>
          </w:p>
        </w:tc>
        <w:tc>
          <w:tcPr>
            <w:tcW w:w="3407" w:type="dxa"/>
          </w:tcPr>
          <w:p w14:paraId="0D8FE704" w14:textId="77777777" w:rsidR="002748B7" w:rsidRPr="00FF43B7" w:rsidRDefault="002748B7" w:rsidP="002748B7">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Điều 5. Tổ chức thực hiện</w:t>
            </w:r>
          </w:p>
          <w:p w14:paraId="649E30F5" w14:textId="77777777" w:rsidR="002748B7" w:rsidRPr="00FF43B7" w:rsidRDefault="002748B7" w:rsidP="002748B7">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1. Giao Ủy ban nhân dân tỉnh tổ chức thực hiện Nghị quyết; chỉ đạo UBND các huyện, thành phố, thị xã hằng năm căn cứ vào tiêu chí quy định khu vực không được phép chăn nuôi tại Khoản 1, Điều 2 của Nghị quyết này, thực hiện rà soát, thống kê trình Uỷ ban nhân dân tỉnh ban hành Quyết định danh sách các phường, thị trấn, khu dân cư không được phép chăn nuôi trên địa bàn.</w:t>
            </w:r>
          </w:p>
          <w:p w14:paraId="23C9232A" w14:textId="77777777" w:rsidR="002748B7" w:rsidRPr="00FF43B7" w:rsidRDefault="002748B7" w:rsidP="002748B7">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FF43B7">
              <w:rPr>
                <w:rFonts w:eastAsia="Times New Roman"/>
                <w:spacing w:val="-4"/>
                <w:sz w:val="20"/>
                <w:szCs w:val="20"/>
              </w:rPr>
              <w:t>2. Giao Thường trực Hội đồng nhân dân tỉnh, các Ban Hội đồng nhân dân tỉnh, các Tổ đại biểu Hội đồng nhân dân tỉnh và đại biểu Hội đồng nhân dân tỉnh giám sát việc thực hiện Nghị quyết.</w:t>
            </w:r>
          </w:p>
          <w:p w14:paraId="6ED0AB85" w14:textId="01AC5545" w:rsidR="002748B7" w:rsidRPr="00FF43B7" w:rsidRDefault="002748B7" w:rsidP="002748B7">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p>
        </w:tc>
        <w:tc>
          <w:tcPr>
            <w:tcW w:w="3544" w:type="dxa"/>
          </w:tcPr>
          <w:p w14:paraId="66590608" w14:textId="77777777" w:rsidR="002748B7" w:rsidRPr="00FF43B7" w:rsidRDefault="002748B7" w:rsidP="002748B7">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Điều 5. Tổ chức thực hiện</w:t>
            </w:r>
          </w:p>
          <w:p w14:paraId="0049586C" w14:textId="77777777" w:rsidR="002748B7" w:rsidRPr="00FF43B7" w:rsidRDefault="002748B7" w:rsidP="002748B7">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1. Giao Ủy ban nhân dân tỉnh tổ chức thực hiện Nghị quyết theo đúng quy định của pháp luật.</w:t>
            </w:r>
          </w:p>
          <w:p w14:paraId="5651074C" w14:textId="18D1CFD9" w:rsidR="002748B7" w:rsidRPr="00FF43B7" w:rsidRDefault="002748B7" w:rsidP="002748B7">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2. Giao Thường trực Hội đồng nhân dân tỉnh, các Ban Hội đồng nhân dân tỉnh, các Tổ đại biểu Hội đồng nhân dân tỉnh và đại biểu Hội đồng nhân dân tỉnh giám sát việc thực hiện Nghị quyết này.</w:t>
            </w:r>
          </w:p>
        </w:tc>
        <w:tc>
          <w:tcPr>
            <w:tcW w:w="2977" w:type="dxa"/>
          </w:tcPr>
          <w:p w14:paraId="37218DCB" w14:textId="77777777" w:rsidR="002748B7" w:rsidRPr="00FF43B7" w:rsidRDefault="002748B7" w:rsidP="00BA58F1">
            <w:pPr>
              <w:shd w:val="clear" w:color="auto" w:fill="FFFFFF"/>
              <w:jc w:val="both"/>
              <w:rPr>
                <w:rFonts w:cs="Times New Roman"/>
                <w:sz w:val="20"/>
                <w:szCs w:val="20"/>
              </w:rPr>
            </w:pPr>
            <w:r w:rsidRPr="00FF43B7">
              <w:rPr>
                <w:rFonts w:cs="Times New Roman"/>
                <w:sz w:val="20"/>
                <w:szCs w:val="20"/>
              </w:rPr>
              <w:t xml:space="preserve">Kế thừa </w:t>
            </w:r>
            <w:r w:rsidR="001276A5" w:rsidRPr="00FF43B7">
              <w:rPr>
                <w:rFonts w:cs="Times New Roman"/>
                <w:sz w:val="20"/>
                <w:szCs w:val="20"/>
              </w:rPr>
              <w:t>nội dung:</w:t>
            </w:r>
          </w:p>
          <w:p w14:paraId="1CBC9184" w14:textId="77777777" w:rsidR="001276A5" w:rsidRPr="00FF43B7" w:rsidRDefault="001276A5" w:rsidP="001276A5">
            <w:pPr>
              <w:shd w:val="clear" w:color="auto" w:fill="FFFFFF"/>
              <w:jc w:val="both"/>
              <w:rPr>
                <w:rFonts w:cs="Times New Roman"/>
                <w:sz w:val="20"/>
                <w:szCs w:val="20"/>
              </w:rPr>
            </w:pPr>
            <w:r w:rsidRPr="00FF43B7">
              <w:rPr>
                <w:rFonts w:cs="Times New Roman"/>
                <w:sz w:val="20"/>
                <w:szCs w:val="20"/>
              </w:rPr>
              <w:t>1. Giao Ủy ban nhân dân tỉnh tổ chức thực hiện Nghị quyết theo đúng quy định của pháp luật.</w:t>
            </w:r>
          </w:p>
          <w:p w14:paraId="7D91E3B8" w14:textId="0927467B" w:rsidR="001276A5" w:rsidRPr="00FF43B7" w:rsidRDefault="001276A5" w:rsidP="001276A5">
            <w:pPr>
              <w:shd w:val="clear" w:color="auto" w:fill="FFFFFF"/>
              <w:jc w:val="both"/>
              <w:rPr>
                <w:rFonts w:cs="Times New Roman"/>
                <w:sz w:val="20"/>
                <w:szCs w:val="20"/>
              </w:rPr>
            </w:pPr>
            <w:r w:rsidRPr="00FF43B7">
              <w:rPr>
                <w:rFonts w:cs="Times New Roman"/>
                <w:sz w:val="20"/>
                <w:szCs w:val="20"/>
              </w:rPr>
              <w:t>2. Giao Thường trực Hội đồng nhân dân tỉnh, các Ban Hội đồng nhân dân tỉnh, các Tổ đại biểu Hội đồng nhân dân tỉnh và đại biểu Hội đồng nhân dân tỉnh giám sát việc thực hiện Nghị quyết này.</w:t>
            </w:r>
          </w:p>
        </w:tc>
        <w:tc>
          <w:tcPr>
            <w:tcW w:w="2835" w:type="dxa"/>
          </w:tcPr>
          <w:p w14:paraId="18908447" w14:textId="77777777" w:rsidR="001D2327" w:rsidRPr="00FF43B7" w:rsidRDefault="002748B7" w:rsidP="008911C2">
            <w:pPr>
              <w:jc w:val="both"/>
              <w:rPr>
                <w:rFonts w:cs="Times New Roman"/>
                <w:sz w:val="20"/>
                <w:szCs w:val="20"/>
              </w:rPr>
            </w:pPr>
            <w:r w:rsidRPr="00FF43B7">
              <w:rPr>
                <w:rFonts w:cs="Times New Roman"/>
                <w:sz w:val="20"/>
                <w:szCs w:val="20"/>
              </w:rPr>
              <w:t xml:space="preserve">Bãi bỏ nội dung giao Ủy ban nhân dân tỉnh chỉ đạo UBND các huyện, thành phố, thị xã hằng năm căn cứ vào tiêu chí quy định khu vực không được phép chăn nuôi tại Khoản 1, Điều 2 của Nghị quyết này, thực hiện rà soát, thống kê trình Uỷ ban nhân dân tỉnh ban hành Quyết định danh sách các phường, thị trấn, khu dân cư không được phép chăn nuôi trên địa bàn. </w:t>
            </w:r>
          </w:p>
          <w:p w14:paraId="60DA065F" w14:textId="3DF47F0C" w:rsidR="002748B7" w:rsidRPr="00FF43B7" w:rsidRDefault="002748B7" w:rsidP="008911C2">
            <w:pPr>
              <w:jc w:val="both"/>
              <w:rPr>
                <w:rFonts w:cs="Times New Roman"/>
                <w:sz w:val="20"/>
                <w:szCs w:val="20"/>
              </w:rPr>
            </w:pPr>
            <w:r w:rsidRPr="00FF43B7">
              <w:rPr>
                <w:rFonts w:cs="Times New Roman"/>
                <w:sz w:val="20"/>
                <w:szCs w:val="20"/>
              </w:rPr>
              <w:t>Lý do danh sách kh</w:t>
            </w:r>
            <w:r w:rsidR="001D2327" w:rsidRPr="00FF43B7">
              <w:rPr>
                <w:rFonts w:cs="Times New Roman"/>
                <w:sz w:val="20"/>
                <w:szCs w:val="20"/>
              </w:rPr>
              <w:t>u</w:t>
            </w:r>
            <w:r w:rsidRPr="00FF43B7">
              <w:rPr>
                <w:rFonts w:cs="Times New Roman"/>
                <w:sz w:val="20"/>
                <w:szCs w:val="20"/>
              </w:rPr>
              <w:t xml:space="preserve"> vực không đượ</w:t>
            </w:r>
            <w:r w:rsidR="008A6173" w:rsidRPr="00FF43B7">
              <w:rPr>
                <w:rFonts w:cs="Times New Roman"/>
                <w:sz w:val="20"/>
                <w:szCs w:val="20"/>
              </w:rPr>
              <w:t>c</w:t>
            </w:r>
            <w:r w:rsidRPr="00FF43B7">
              <w:rPr>
                <w:rFonts w:cs="Times New Roman"/>
                <w:sz w:val="20"/>
                <w:szCs w:val="20"/>
              </w:rPr>
              <w:t xml:space="preserve"> phép chăn nuôi đã được quy định trực tiếp tại phụ lục của Nghị quyết</w:t>
            </w:r>
          </w:p>
        </w:tc>
        <w:tc>
          <w:tcPr>
            <w:tcW w:w="2801" w:type="dxa"/>
          </w:tcPr>
          <w:p w14:paraId="27336685" w14:textId="3D306137" w:rsidR="002748B7" w:rsidRPr="00FF43B7" w:rsidRDefault="009F59B5" w:rsidP="00BA58F1">
            <w:pPr>
              <w:jc w:val="both"/>
              <w:rPr>
                <w:rFonts w:cs="Times New Roman"/>
                <w:sz w:val="20"/>
                <w:szCs w:val="20"/>
              </w:rPr>
            </w:pPr>
            <w:r w:rsidRPr="00FF43B7">
              <w:rPr>
                <w:rFonts w:cs="Times New Roman"/>
                <w:sz w:val="20"/>
                <w:szCs w:val="20"/>
              </w:rPr>
              <w:t>Phù hợp với dự thảo Nghị quyết</w:t>
            </w:r>
          </w:p>
        </w:tc>
      </w:tr>
      <w:tr w:rsidR="00FF43B7" w:rsidRPr="00FF43B7" w14:paraId="1B65DC02" w14:textId="77777777" w:rsidTr="00BA58F1">
        <w:tc>
          <w:tcPr>
            <w:tcW w:w="562" w:type="dxa"/>
          </w:tcPr>
          <w:p w14:paraId="2708A370" w14:textId="77777777" w:rsidR="002748B7" w:rsidRPr="00FF43B7" w:rsidRDefault="002748B7" w:rsidP="00BA58F1">
            <w:pPr>
              <w:rPr>
                <w:rFonts w:cs="Times New Roman"/>
                <w:sz w:val="20"/>
                <w:szCs w:val="20"/>
              </w:rPr>
            </w:pPr>
          </w:p>
        </w:tc>
        <w:tc>
          <w:tcPr>
            <w:tcW w:w="3407" w:type="dxa"/>
          </w:tcPr>
          <w:p w14:paraId="1172BCAF" w14:textId="625FDCE3" w:rsidR="002748B7" w:rsidRPr="00FF43B7" w:rsidRDefault="002748B7" w:rsidP="006C1381">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p>
        </w:tc>
        <w:tc>
          <w:tcPr>
            <w:tcW w:w="3544" w:type="dxa"/>
          </w:tcPr>
          <w:p w14:paraId="1D1A9234" w14:textId="77777777" w:rsidR="001276A5" w:rsidRPr="00FF43B7" w:rsidRDefault="001276A5" w:rsidP="001276A5">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Điều 6. Điều khoản thi hành</w:t>
            </w:r>
          </w:p>
          <w:p w14:paraId="1F678F1D" w14:textId="77777777" w:rsidR="001276A5" w:rsidRPr="00FF43B7" w:rsidRDefault="001276A5" w:rsidP="001276A5">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1. Nghị quyết này có hiệu lực thi hành từ ngày ….. tháng… năm 2026.</w:t>
            </w:r>
          </w:p>
          <w:p w14:paraId="79BD3381" w14:textId="1F581A87" w:rsidR="002748B7" w:rsidRPr="00FF43B7" w:rsidRDefault="001276A5" w:rsidP="001276A5">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FF43B7">
              <w:rPr>
                <w:rFonts w:eastAsia="Times New Roman" w:cs="Times New Roman"/>
                <w:sz w:val="20"/>
                <w:szCs w:val="20"/>
              </w:rPr>
              <w:t xml:space="preserve">2. Nghị quyết số 12/2020/NQ-HĐND ngày 11 tháng 12 năm 2020 của Hội đồng nhân dân tỉnh Thái Nguyên Quy định khu vực thuộc nội thành của thành </w:t>
            </w:r>
            <w:r w:rsidRPr="00FF43B7">
              <w:rPr>
                <w:rFonts w:eastAsia="Times New Roman" w:cs="Times New Roman"/>
                <w:sz w:val="20"/>
                <w:szCs w:val="20"/>
              </w:rPr>
              <w:lastRenderedPageBreak/>
              <w:t>phố, thị xã, thị trấn, khu dân cư không được phép chăn nuôi và chính sách hỗ trợ khi ngừng hoạt động chăn nuôi hoặc di dời cơ sở chăn nuôi ra khỏi khu vực không được phép chăn nuôi trên địa bàn tỉnh Thái Nguyên</w:t>
            </w:r>
            <w:r w:rsidR="008833A1">
              <w:rPr>
                <w:rFonts w:eastAsia="Times New Roman" w:cs="Times New Roman"/>
                <w:sz w:val="20"/>
                <w:szCs w:val="20"/>
              </w:rPr>
              <w:t xml:space="preserve"> </w:t>
            </w:r>
            <w:r w:rsidR="008833A1" w:rsidRPr="008833A1">
              <w:rPr>
                <w:rFonts w:eastAsia="Times New Roman" w:cs="Times New Roman"/>
                <w:sz w:val="20"/>
                <w:szCs w:val="20"/>
              </w:rPr>
              <w:t>hết hiệu lực kể từ ngày Nghị quyết này có hiệu lực thi hành.</w:t>
            </w:r>
          </w:p>
        </w:tc>
        <w:tc>
          <w:tcPr>
            <w:tcW w:w="2977" w:type="dxa"/>
          </w:tcPr>
          <w:p w14:paraId="6A6DC2F6" w14:textId="77777777" w:rsidR="002748B7" w:rsidRPr="00FF43B7" w:rsidRDefault="002748B7" w:rsidP="00BA58F1">
            <w:pPr>
              <w:shd w:val="clear" w:color="auto" w:fill="FFFFFF"/>
              <w:jc w:val="both"/>
              <w:rPr>
                <w:rFonts w:cs="Times New Roman"/>
                <w:sz w:val="20"/>
                <w:szCs w:val="20"/>
              </w:rPr>
            </w:pPr>
          </w:p>
        </w:tc>
        <w:tc>
          <w:tcPr>
            <w:tcW w:w="2835" w:type="dxa"/>
          </w:tcPr>
          <w:p w14:paraId="60F2ABCB" w14:textId="154CB870" w:rsidR="002748B7" w:rsidRPr="00FF43B7" w:rsidRDefault="001276A5" w:rsidP="008911C2">
            <w:pPr>
              <w:jc w:val="both"/>
              <w:rPr>
                <w:rFonts w:cs="Times New Roman"/>
                <w:sz w:val="20"/>
                <w:szCs w:val="20"/>
              </w:rPr>
            </w:pPr>
            <w:r w:rsidRPr="00FF43B7">
              <w:rPr>
                <w:rFonts w:cs="Times New Roman"/>
                <w:sz w:val="20"/>
                <w:szCs w:val="20"/>
              </w:rPr>
              <w:t xml:space="preserve">Bổ sung </w:t>
            </w:r>
            <w:r w:rsidR="009F59B5" w:rsidRPr="00FF43B7">
              <w:rPr>
                <w:rFonts w:cs="Times New Roman"/>
                <w:sz w:val="20"/>
                <w:szCs w:val="20"/>
              </w:rPr>
              <w:t>nội dung:</w:t>
            </w:r>
          </w:p>
          <w:p w14:paraId="2584D649" w14:textId="77777777" w:rsidR="009F59B5" w:rsidRPr="00FF43B7" w:rsidRDefault="009F59B5" w:rsidP="009F59B5">
            <w:pPr>
              <w:jc w:val="both"/>
              <w:rPr>
                <w:rFonts w:cs="Times New Roman"/>
                <w:sz w:val="20"/>
                <w:szCs w:val="20"/>
              </w:rPr>
            </w:pPr>
            <w:r w:rsidRPr="00FF43B7">
              <w:rPr>
                <w:rFonts w:cs="Times New Roman"/>
                <w:sz w:val="20"/>
                <w:szCs w:val="20"/>
              </w:rPr>
              <w:t>1. Nghị quyết này có hiệu lực thi hành từ ngày ….. tháng… năm 2026.</w:t>
            </w:r>
          </w:p>
          <w:p w14:paraId="7DE33749" w14:textId="6882D33B" w:rsidR="009F59B5" w:rsidRPr="00FF43B7" w:rsidRDefault="009F59B5" w:rsidP="009F59B5">
            <w:pPr>
              <w:jc w:val="both"/>
              <w:rPr>
                <w:rFonts w:cs="Times New Roman"/>
                <w:sz w:val="20"/>
                <w:szCs w:val="20"/>
              </w:rPr>
            </w:pPr>
            <w:r w:rsidRPr="00FF43B7">
              <w:rPr>
                <w:rFonts w:cs="Times New Roman"/>
                <w:sz w:val="20"/>
                <w:szCs w:val="20"/>
              </w:rPr>
              <w:t xml:space="preserve">2. </w:t>
            </w:r>
            <w:r w:rsidR="008833A1" w:rsidRPr="008833A1">
              <w:rPr>
                <w:rFonts w:cs="Times New Roman"/>
                <w:sz w:val="20"/>
                <w:szCs w:val="20"/>
              </w:rPr>
              <w:t xml:space="preserve">Nghị quyết số 12/2020/NQ-HĐND ngày 11 tháng 12 năm 2020 của Hội đồng nhân dân tỉnh Thái Nguyên Quy định khu </w:t>
            </w:r>
            <w:r w:rsidR="008833A1" w:rsidRPr="008833A1">
              <w:rPr>
                <w:rFonts w:cs="Times New Roman"/>
                <w:sz w:val="20"/>
                <w:szCs w:val="20"/>
              </w:rPr>
              <w:lastRenderedPageBreak/>
              <w:t>vực thuộc nội thành của thành phố, thị xã, thị trấn, khu dân cư không được phép chăn nuôi và chính sách hỗ trợ khi ngừng hoạt động chăn nuôi hoặc di dời cơ sở chăn nuôi ra khỏi khu vực không được phép chăn nuôi trên địa bàn tỉnh Thái Nguyên hết hiệu lực kể từ ngày Nghị quyết này có hiệu lực thi hành.</w:t>
            </w:r>
          </w:p>
          <w:p w14:paraId="0FDD552D" w14:textId="5AEEF73F" w:rsidR="009F59B5" w:rsidRPr="00FF43B7" w:rsidRDefault="009F59B5" w:rsidP="008911C2">
            <w:pPr>
              <w:jc w:val="both"/>
              <w:rPr>
                <w:rFonts w:cs="Times New Roman"/>
                <w:sz w:val="20"/>
                <w:szCs w:val="20"/>
              </w:rPr>
            </w:pPr>
          </w:p>
        </w:tc>
        <w:tc>
          <w:tcPr>
            <w:tcW w:w="2801" w:type="dxa"/>
          </w:tcPr>
          <w:p w14:paraId="391951DA" w14:textId="5E6EF953" w:rsidR="002748B7" w:rsidRPr="00FF43B7" w:rsidRDefault="009F59B5" w:rsidP="00BA58F1">
            <w:pPr>
              <w:jc w:val="both"/>
              <w:rPr>
                <w:rFonts w:cs="Times New Roman"/>
                <w:sz w:val="20"/>
                <w:szCs w:val="20"/>
              </w:rPr>
            </w:pPr>
            <w:r w:rsidRPr="00FF43B7">
              <w:rPr>
                <w:rFonts w:cs="Times New Roman"/>
                <w:sz w:val="20"/>
                <w:szCs w:val="20"/>
              </w:rPr>
              <w:lastRenderedPageBreak/>
              <w:t>Phù hợp với dự thảo Nghị quyết</w:t>
            </w:r>
          </w:p>
        </w:tc>
      </w:tr>
    </w:tbl>
    <w:p w14:paraId="325589C4" w14:textId="77777777" w:rsidR="00380490" w:rsidRPr="00FF43B7" w:rsidRDefault="00380490"/>
    <w:sectPr w:rsidR="00380490" w:rsidRPr="00FF43B7" w:rsidSect="00417617">
      <w:headerReference w:type="default" r:id="rId8"/>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A38BD" w14:textId="77777777" w:rsidR="00953437" w:rsidRDefault="00953437" w:rsidP="00954444">
      <w:r>
        <w:separator/>
      </w:r>
    </w:p>
  </w:endnote>
  <w:endnote w:type="continuationSeparator" w:id="0">
    <w:p w14:paraId="3D27C7C2" w14:textId="77777777" w:rsidR="00953437" w:rsidRDefault="00953437" w:rsidP="0095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7DFFB" w14:textId="77777777" w:rsidR="00953437" w:rsidRDefault="00953437" w:rsidP="00954444">
      <w:r>
        <w:separator/>
      </w:r>
    </w:p>
  </w:footnote>
  <w:footnote w:type="continuationSeparator" w:id="0">
    <w:p w14:paraId="2DD59A01" w14:textId="77777777" w:rsidR="00953437" w:rsidRDefault="00953437" w:rsidP="00954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999813"/>
      <w:docPartObj>
        <w:docPartGallery w:val="Page Numbers (Top of Page)"/>
        <w:docPartUnique/>
      </w:docPartObj>
    </w:sdtPr>
    <w:sdtEndPr>
      <w:rPr>
        <w:noProof/>
        <w:sz w:val="24"/>
        <w:szCs w:val="24"/>
      </w:rPr>
    </w:sdtEndPr>
    <w:sdtContent>
      <w:p w14:paraId="77B250FC" w14:textId="1922ED84" w:rsidR="00954444" w:rsidRPr="005A4C71" w:rsidRDefault="00954444">
        <w:pPr>
          <w:pStyle w:val="utrang"/>
          <w:jc w:val="center"/>
          <w:rPr>
            <w:sz w:val="24"/>
            <w:szCs w:val="24"/>
          </w:rPr>
        </w:pPr>
        <w:r w:rsidRPr="005A4C71">
          <w:rPr>
            <w:sz w:val="24"/>
            <w:szCs w:val="24"/>
          </w:rPr>
          <w:fldChar w:fldCharType="begin"/>
        </w:r>
        <w:r w:rsidRPr="005A4C71">
          <w:rPr>
            <w:sz w:val="24"/>
            <w:szCs w:val="24"/>
          </w:rPr>
          <w:instrText xml:space="preserve"> PAGE   \* MERGEFORMAT </w:instrText>
        </w:r>
        <w:r w:rsidRPr="005A4C71">
          <w:rPr>
            <w:sz w:val="24"/>
            <w:szCs w:val="24"/>
          </w:rPr>
          <w:fldChar w:fldCharType="separate"/>
        </w:r>
        <w:r w:rsidR="00C44F92">
          <w:rPr>
            <w:noProof/>
            <w:sz w:val="24"/>
            <w:szCs w:val="24"/>
          </w:rPr>
          <w:t>7</w:t>
        </w:r>
        <w:r w:rsidRPr="005A4C71">
          <w:rPr>
            <w:noProof/>
            <w:sz w:val="24"/>
            <w:szCs w:val="24"/>
          </w:rPr>
          <w:fldChar w:fldCharType="end"/>
        </w:r>
      </w:p>
    </w:sdtContent>
  </w:sdt>
  <w:p w14:paraId="47C20CDD" w14:textId="77777777" w:rsidR="00954444" w:rsidRDefault="00954444">
    <w:pPr>
      <w:pStyle w:val="utra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C5BA5"/>
    <w:multiLevelType w:val="hybridMultilevel"/>
    <w:tmpl w:val="AF74888E"/>
    <w:lvl w:ilvl="0" w:tplc="0F62A5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CB0E6B"/>
    <w:multiLevelType w:val="hybridMultilevel"/>
    <w:tmpl w:val="77B85894"/>
    <w:lvl w:ilvl="0" w:tplc="92D808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17"/>
    <w:rsid w:val="00031095"/>
    <w:rsid w:val="000F4617"/>
    <w:rsid w:val="000F6B65"/>
    <w:rsid w:val="00106135"/>
    <w:rsid w:val="001276A5"/>
    <w:rsid w:val="00183CBE"/>
    <w:rsid w:val="001D2327"/>
    <w:rsid w:val="0024059A"/>
    <w:rsid w:val="002748B7"/>
    <w:rsid w:val="002F6276"/>
    <w:rsid w:val="00335209"/>
    <w:rsid w:val="00380490"/>
    <w:rsid w:val="003939A3"/>
    <w:rsid w:val="00417617"/>
    <w:rsid w:val="00421A6C"/>
    <w:rsid w:val="00495FE3"/>
    <w:rsid w:val="00505D12"/>
    <w:rsid w:val="005A4C71"/>
    <w:rsid w:val="00601758"/>
    <w:rsid w:val="006253C8"/>
    <w:rsid w:val="00655F5E"/>
    <w:rsid w:val="006B12AD"/>
    <w:rsid w:val="006C1381"/>
    <w:rsid w:val="006D2C13"/>
    <w:rsid w:val="00760FC8"/>
    <w:rsid w:val="00791452"/>
    <w:rsid w:val="007917CD"/>
    <w:rsid w:val="00833354"/>
    <w:rsid w:val="008521AE"/>
    <w:rsid w:val="008833A1"/>
    <w:rsid w:val="00890C73"/>
    <w:rsid w:val="008911C2"/>
    <w:rsid w:val="008A6173"/>
    <w:rsid w:val="008A683B"/>
    <w:rsid w:val="00903E94"/>
    <w:rsid w:val="00953437"/>
    <w:rsid w:val="00954444"/>
    <w:rsid w:val="009F2176"/>
    <w:rsid w:val="009F59B5"/>
    <w:rsid w:val="00A47E62"/>
    <w:rsid w:val="00AF54D2"/>
    <w:rsid w:val="00B01E5F"/>
    <w:rsid w:val="00B430DD"/>
    <w:rsid w:val="00B64B26"/>
    <w:rsid w:val="00C44F92"/>
    <w:rsid w:val="00C91784"/>
    <w:rsid w:val="00CB5C10"/>
    <w:rsid w:val="00DD0DF8"/>
    <w:rsid w:val="00E7795C"/>
    <w:rsid w:val="00E9542C"/>
    <w:rsid w:val="00ED61E8"/>
    <w:rsid w:val="00F6709C"/>
    <w:rsid w:val="00FF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417617"/>
    <w:pPr>
      <w:spacing w:after="0" w:line="240" w:lineRule="auto"/>
    </w:pPr>
    <w:rPr>
      <w:rFonts w:ascii="Times New Roman" w:hAnsi="Times New Roman"/>
      <w:kern w:val="0"/>
      <w:sz w:val="28"/>
      <w14:ligatures w14:val="none"/>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39"/>
    <w:rsid w:val="00417617"/>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caDanhsch">
    <w:name w:val="List Paragraph"/>
    <w:basedOn w:val="Binhthng"/>
    <w:uiPriority w:val="34"/>
    <w:qFormat/>
    <w:rsid w:val="008911C2"/>
    <w:pPr>
      <w:ind w:left="720"/>
      <w:contextualSpacing/>
    </w:pPr>
  </w:style>
  <w:style w:type="paragraph" w:styleId="utrang">
    <w:name w:val="header"/>
    <w:basedOn w:val="Binhthng"/>
    <w:link w:val="utrangChar"/>
    <w:uiPriority w:val="99"/>
    <w:unhideWhenUsed/>
    <w:rsid w:val="00954444"/>
    <w:pPr>
      <w:tabs>
        <w:tab w:val="center" w:pos="4680"/>
        <w:tab w:val="right" w:pos="9360"/>
      </w:tabs>
    </w:pPr>
  </w:style>
  <w:style w:type="character" w:customStyle="1" w:styleId="utrangChar">
    <w:name w:val="Đầu trang Char"/>
    <w:basedOn w:val="Phngmcnhcaonvn"/>
    <w:link w:val="utrang"/>
    <w:uiPriority w:val="99"/>
    <w:rsid w:val="00954444"/>
    <w:rPr>
      <w:rFonts w:ascii="Times New Roman" w:hAnsi="Times New Roman"/>
      <w:kern w:val="0"/>
      <w:sz w:val="28"/>
      <w14:ligatures w14:val="none"/>
    </w:rPr>
  </w:style>
  <w:style w:type="paragraph" w:styleId="Chntrang">
    <w:name w:val="footer"/>
    <w:basedOn w:val="Binhthng"/>
    <w:link w:val="ChntrangChar"/>
    <w:uiPriority w:val="99"/>
    <w:unhideWhenUsed/>
    <w:rsid w:val="00954444"/>
    <w:pPr>
      <w:tabs>
        <w:tab w:val="center" w:pos="4680"/>
        <w:tab w:val="right" w:pos="9360"/>
      </w:tabs>
    </w:pPr>
  </w:style>
  <w:style w:type="character" w:customStyle="1" w:styleId="ChntrangChar">
    <w:name w:val="Chân trang Char"/>
    <w:basedOn w:val="Phngmcnhcaonvn"/>
    <w:link w:val="Chntrang"/>
    <w:uiPriority w:val="99"/>
    <w:rsid w:val="00954444"/>
    <w:rPr>
      <w:rFonts w:ascii="Times New Roman" w:hAnsi="Times New Roman"/>
      <w:kern w:val="0"/>
      <w:sz w:val="28"/>
      <w14:ligatures w14:val="none"/>
    </w:rPr>
  </w:style>
  <w:style w:type="paragraph" w:styleId="KhngGincch">
    <w:name w:val="No Spacing"/>
    <w:uiPriority w:val="1"/>
    <w:qFormat/>
    <w:rsid w:val="00954444"/>
    <w:pPr>
      <w:spacing w:after="0" w:line="240" w:lineRule="auto"/>
    </w:pPr>
    <w:rPr>
      <w:rFonts w:ascii="Times New Roman" w:hAnsi="Times New Roman"/>
      <w:kern w:val="0"/>
      <w:sz w:val="28"/>
      <w14:ligatures w14:val="none"/>
    </w:rPr>
  </w:style>
  <w:style w:type="paragraph" w:styleId="Bngchthch">
    <w:name w:val="Balloon Text"/>
    <w:basedOn w:val="Binhthng"/>
    <w:link w:val="BngchthchChar"/>
    <w:uiPriority w:val="99"/>
    <w:semiHidden/>
    <w:unhideWhenUsed/>
    <w:rsid w:val="00495FE3"/>
    <w:rPr>
      <w:rFonts w:ascii="Tahoma" w:hAnsi="Tahoma" w:cs="Tahoma"/>
      <w:sz w:val="16"/>
      <w:szCs w:val="16"/>
    </w:rPr>
  </w:style>
  <w:style w:type="character" w:customStyle="1" w:styleId="BngchthchChar">
    <w:name w:val="Bóng chú thích Char"/>
    <w:basedOn w:val="Phngmcnhcaonvn"/>
    <w:link w:val="Bngchthch"/>
    <w:uiPriority w:val="99"/>
    <w:semiHidden/>
    <w:rsid w:val="00495FE3"/>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417617"/>
    <w:pPr>
      <w:spacing w:after="0" w:line="240" w:lineRule="auto"/>
    </w:pPr>
    <w:rPr>
      <w:rFonts w:ascii="Times New Roman" w:hAnsi="Times New Roman"/>
      <w:kern w:val="0"/>
      <w:sz w:val="28"/>
      <w14:ligatures w14:val="none"/>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39"/>
    <w:rsid w:val="00417617"/>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caDanhsch">
    <w:name w:val="List Paragraph"/>
    <w:basedOn w:val="Binhthng"/>
    <w:uiPriority w:val="34"/>
    <w:qFormat/>
    <w:rsid w:val="008911C2"/>
    <w:pPr>
      <w:ind w:left="720"/>
      <w:contextualSpacing/>
    </w:pPr>
  </w:style>
  <w:style w:type="paragraph" w:styleId="utrang">
    <w:name w:val="header"/>
    <w:basedOn w:val="Binhthng"/>
    <w:link w:val="utrangChar"/>
    <w:uiPriority w:val="99"/>
    <w:unhideWhenUsed/>
    <w:rsid w:val="00954444"/>
    <w:pPr>
      <w:tabs>
        <w:tab w:val="center" w:pos="4680"/>
        <w:tab w:val="right" w:pos="9360"/>
      </w:tabs>
    </w:pPr>
  </w:style>
  <w:style w:type="character" w:customStyle="1" w:styleId="utrangChar">
    <w:name w:val="Đầu trang Char"/>
    <w:basedOn w:val="Phngmcnhcaonvn"/>
    <w:link w:val="utrang"/>
    <w:uiPriority w:val="99"/>
    <w:rsid w:val="00954444"/>
    <w:rPr>
      <w:rFonts w:ascii="Times New Roman" w:hAnsi="Times New Roman"/>
      <w:kern w:val="0"/>
      <w:sz w:val="28"/>
      <w14:ligatures w14:val="none"/>
    </w:rPr>
  </w:style>
  <w:style w:type="paragraph" w:styleId="Chntrang">
    <w:name w:val="footer"/>
    <w:basedOn w:val="Binhthng"/>
    <w:link w:val="ChntrangChar"/>
    <w:uiPriority w:val="99"/>
    <w:unhideWhenUsed/>
    <w:rsid w:val="00954444"/>
    <w:pPr>
      <w:tabs>
        <w:tab w:val="center" w:pos="4680"/>
        <w:tab w:val="right" w:pos="9360"/>
      </w:tabs>
    </w:pPr>
  </w:style>
  <w:style w:type="character" w:customStyle="1" w:styleId="ChntrangChar">
    <w:name w:val="Chân trang Char"/>
    <w:basedOn w:val="Phngmcnhcaonvn"/>
    <w:link w:val="Chntrang"/>
    <w:uiPriority w:val="99"/>
    <w:rsid w:val="00954444"/>
    <w:rPr>
      <w:rFonts w:ascii="Times New Roman" w:hAnsi="Times New Roman"/>
      <w:kern w:val="0"/>
      <w:sz w:val="28"/>
      <w14:ligatures w14:val="none"/>
    </w:rPr>
  </w:style>
  <w:style w:type="paragraph" w:styleId="KhngGincch">
    <w:name w:val="No Spacing"/>
    <w:uiPriority w:val="1"/>
    <w:qFormat/>
    <w:rsid w:val="00954444"/>
    <w:pPr>
      <w:spacing w:after="0" w:line="240" w:lineRule="auto"/>
    </w:pPr>
    <w:rPr>
      <w:rFonts w:ascii="Times New Roman" w:hAnsi="Times New Roman"/>
      <w:kern w:val="0"/>
      <w:sz w:val="28"/>
      <w14:ligatures w14:val="none"/>
    </w:rPr>
  </w:style>
  <w:style w:type="paragraph" w:styleId="Bngchthch">
    <w:name w:val="Balloon Text"/>
    <w:basedOn w:val="Binhthng"/>
    <w:link w:val="BngchthchChar"/>
    <w:uiPriority w:val="99"/>
    <w:semiHidden/>
    <w:unhideWhenUsed/>
    <w:rsid w:val="00495FE3"/>
    <w:rPr>
      <w:rFonts w:ascii="Tahoma" w:hAnsi="Tahoma" w:cs="Tahoma"/>
      <w:sz w:val="16"/>
      <w:szCs w:val="16"/>
    </w:rPr>
  </w:style>
  <w:style w:type="character" w:customStyle="1" w:styleId="BngchthchChar">
    <w:name w:val="Bóng chú thích Char"/>
    <w:basedOn w:val="Phngmcnhcaonvn"/>
    <w:link w:val="Bngchthch"/>
    <w:uiPriority w:val="99"/>
    <w:semiHidden/>
    <w:rsid w:val="00495FE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2712</Words>
  <Characters>15463</Characters>
  <Application>Microsoft Office Word</Application>
  <DocSecurity>0</DocSecurity>
  <Lines>128</Lines>
  <Paragraphs>36</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2026-05-19T01:42:00Z</cp:lastPrinted>
  <dcterms:created xsi:type="dcterms:W3CDTF">2026-06-03T13:27:00Z</dcterms:created>
  <dcterms:modified xsi:type="dcterms:W3CDTF">2026-06-03T13:27:00Z</dcterms:modified>
</cp:coreProperties>
</file>